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22AD" w14:textId="0C00125B" w:rsidR="001423DA" w:rsidRDefault="002E18C2">
      <w:pPr>
        <w:spacing w:after="0" w:line="240" w:lineRule="auto"/>
        <w:rPr>
          <w:sz w:val="20"/>
        </w:rPr>
      </w:pPr>
      <w:r>
        <w:rPr>
          <w:noProof/>
          <w:sz w:val="20"/>
        </w:rPr>
        <w:drawing>
          <wp:inline distT="0" distB="0" distL="0" distR="0" wp14:anchorId="79CCF0DE" wp14:editId="42589B9F">
            <wp:extent cx="2765634" cy="537210"/>
            <wp:effectExtent l="0" t="0" r="3175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527" cy="57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2B6E3" w14:textId="44F3750E" w:rsidR="002E18C2" w:rsidRDefault="002E18C2">
      <w:pPr>
        <w:spacing w:after="0" w:line="240" w:lineRule="auto"/>
        <w:rPr>
          <w:sz w:val="20"/>
        </w:rPr>
      </w:pPr>
    </w:p>
    <w:p w14:paraId="4ADE65FD" w14:textId="77777777" w:rsidR="002E18C2" w:rsidRDefault="002E18C2">
      <w:pPr>
        <w:spacing w:after="0" w:line="240" w:lineRule="auto"/>
        <w:rPr>
          <w:sz w:val="20"/>
        </w:rPr>
      </w:pPr>
    </w:p>
    <w:p w14:paraId="566FD189" w14:textId="77777777" w:rsidR="002E18C2" w:rsidRDefault="002E18C2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423DA" w14:paraId="6660C428" w14:textId="77777777">
        <w:tc>
          <w:tcPr>
            <w:tcW w:w="9576" w:type="dxa"/>
            <w:gridSpan w:val="2"/>
          </w:tcPr>
          <w:p w14:paraId="201F287B" w14:textId="20FB170A" w:rsidR="001423DA" w:rsidRDefault="000C4F55" w:rsidP="002A214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Title: </w:t>
            </w:r>
            <w:r w:rsidR="002A214F" w:rsidRPr="002A214F">
              <w:rPr>
                <w:rFonts w:cs="Times New Roman"/>
                <w:sz w:val="20"/>
                <w:szCs w:val="20"/>
              </w:rPr>
              <w:t>Shadow IT</w:t>
            </w:r>
            <w:r w:rsidR="002A214F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E25A0F">
              <w:rPr>
                <w:rFonts w:cs="Times New Roman"/>
                <w:sz w:val="20"/>
                <w:szCs w:val="20"/>
              </w:rPr>
              <w:t>p</w:t>
            </w:r>
            <w:r>
              <w:rPr>
                <w:rFonts w:cs="Times New Roman"/>
                <w:sz w:val="20"/>
                <w:szCs w:val="20"/>
              </w:rPr>
              <w:t xml:space="preserve">olicy </w:t>
            </w:r>
          </w:p>
        </w:tc>
      </w:tr>
      <w:tr w:rsidR="001423DA" w14:paraId="7F3C4CC2" w14:textId="77777777">
        <w:tc>
          <w:tcPr>
            <w:tcW w:w="4788" w:type="dxa"/>
          </w:tcPr>
          <w:p w14:paraId="29522BB1" w14:textId="77777777" w:rsidR="001423DA" w:rsidRDefault="000C4F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Department:</w:t>
            </w:r>
            <w:r>
              <w:rPr>
                <w:rFonts w:cs="Times New Roman"/>
                <w:sz w:val="20"/>
                <w:szCs w:val="20"/>
              </w:rPr>
              <w:t xml:space="preserve"> IT</w:t>
            </w:r>
          </w:p>
        </w:tc>
        <w:tc>
          <w:tcPr>
            <w:tcW w:w="4788" w:type="dxa"/>
          </w:tcPr>
          <w:p w14:paraId="5062F420" w14:textId="77777777" w:rsidR="001423DA" w:rsidRDefault="000C4F5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Version:</w:t>
            </w:r>
            <w:r>
              <w:rPr>
                <w:rFonts w:cs="Times New Roman"/>
                <w:sz w:val="20"/>
                <w:szCs w:val="20"/>
              </w:rPr>
              <w:t xml:space="preserve"> Original</w:t>
            </w:r>
          </w:p>
        </w:tc>
      </w:tr>
      <w:tr w:rsidR="001423DA" w14:paraId="1DF82B97" w14:textId="77777777">
        <w:tc>
          <w:tcPr>
            <w:tcW w:w="4788" w:type="dxa"/>
          </w:tcPr>
          <w:p w14:paraId="4759A636" w14:textId="77777777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Approved by:</w:t>
            </w:r>
          </w:p>
        </w:tc>
        <w:tc>
          <w:tcPr>
            <w:tcW w:w="4788" w:type="dxa"/>
          </w:tcPr>
          <w:p w14:paraId="554A49A5" w14:textId="5BAFAD34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Approval </w:t>
            </w:r>
            <w:r w:rsidR="00E25A0F">
              <w:rPr>
                <w:rFonts w:cs="Times New Roman"/>
                <w:b/>
                <w:sz w:val="20"/>
                <w:szCs w:val="20"/>
              </w:rPr>
              <w:t>d</w:t>
            </w:r>
            <w:r>
              <w:rPr>
                <w:rFonts w:cs="Times New Roman"/>
                <w:b/>
                <w:sz w:val="20"/>
                <w:szCs w:val="20"/>
              </w:rPr>
              <w:t xml:space="preserve">ate: </w:t>
            </w:r>
          </w:p>
        </w:tc>
      </w:tr>
      <w:tr w:rsidR="001423DA" w14:paraId="0C2D7C77" w14:textId="77777777">
        <w:tc>
          <w:tcPr>
            <w:tcW w:w="9576" w:type="dxa"/>
            <w:gridSpan w:val="2"/>
          </w:tcPr>
          <w:p w14:paraId="54AD01DE" w14:textId="459F757C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Senior </w:t>
            </w:r>
            <w:r w:rsidR="00E25A0F">
              <w:rPr>
                <w:rFonts w:cs="Times New Roman"/>
                <w:b/>
                <w:sz w:val="20"/>
                <w:szCs w:val="20"/>
              </w:rPr>
              <w:t>m</w:t>
            </w:r>
            <w:r>
              <w:rPr>
                <w:rFonts w:cs="Times New Roman"/>
                <w:b/>
                <w:sz w:val="20"/>
                <w:szCs w:val="20"/>
              </w:rPr>
              <w:t xml:space="preserve">anagement </w:t>
            </w:r>
            <w:r w:rsidR="00E25A0F">
              <w:rPr>
                <w:rFonts w:cs="Times New Roman"/>
                <w:b/>
                <w:sz w:val="20"/>
                <w:szCs w:val="20"/>
              </w:rPr>
              <w:t>a</w:t>
            </w:r>
            <w:r>
              <w:rPr>
                <w:rFonts w:cs="Times New Roman"/>
                <w:b/>
                <w:sz w:val="20"/>
                <w:szCs w:val="20"/>
              </w:rPr>
              <w:t>pproval:</w:t>
            </w:r>
          </w:p>
        </w:tc>
      </w:tr>
      <w:tr w:rsidR="001423DA" w14:paraId="6A715FAD" w14:textId="77777777">
        <w:tc>
          <w:tcPr>
            <w:tcW w:w="4788" w:type="dxa"/>
          </w:tcPr>
          <w:p w14:paraId="480C9A67" w14:textId="116AE64C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Effective </w:t>
            </w:r>
            <w:r w:rsidR="00E25A0F">
              <w:rPr>
                <w:rFonts w:cs="Times New Roman"/>
                <w:b/>
                <w:sz w:val="20"/>
                <w:szCs w:val="20"/>
              </w:rPr>
              <w:t>d</w:t>
            </w:r>
            <w:r>
              <w:rPr>
                <w:rFonts w:cs="Times New Roman"/>
                <w:b/>
                <w:sz w:val="20"/>
                <w:szCs w:val="20"/>
              </w:rPr>
              <w:t>ate:</w:t>
            </w:r>
          </w:p>
        </w:tc>
        <w:tc>
          <w:tcPr>
            <w:tcW w:w="4788" w:type="dxa"/>
          </w:tcPr>
          <w:p w14:paraId="268C2B99" w14:textId="4D11B9B1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Last </w:t>
            </w:r>
            <w:r w:rsidR="00E25A0F">
              <w:rPr>
                <w:rFonts w:cs="Times New Roman"/>
                <w:b/>
                <w:sz w:val="20"/>
                <w:szCs w:val="20"/>
              </w:rPr>
              <w:t>u</w:t>
            </w:r>
            <w:r>
              <w:rPr>
                <w:rFonts w:cs="Times New Roman"/>
                <w:b/>
                <w:sz w:val="20"/>
                <w:szCs w:val="20"/>
              </w:rPr>
              <w:t>pdated:</w:t>
            </w:r>
          </w:p>
        </w:tc>
      </w:tr>
      <w:tr w:rsidR="001423DA" w14:paraId="634E7982" w14:textId="77777777">
        <w:tc>
          <w:tcPr>
            <w:tcW w:w="9576" w:type="dxa"/>
            <w:gridSpan w:val="2"/>
          </w:tcPr>
          <w:p w14:paraId="1A705A8C" w14:textId="77777777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Author:</w:t>
            </w:r>
          </w:p>
        </w:tc>
      </w:tr>
      <w:tr w:rsidR="001423DA" w14:paraId="32561D30" w14:textId="77777777">
        <w:tc>
          <w:tcPr>
            <w:tcW w:w="9576" w:type="dxa"/>
            <w:gridSpan w:val="2"/>
          </w:tcPr>
          <w:p w14:paraId="54986976" w14:textId="77777777" w:rsidR="001423DA" w:rsidRDefault="000C4F55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Scope</w:t>
            </w:r>
          </w:p>
          <w:p w14:paraId="7612A9A8" w14:textId="77777777" w:rsidR="001423DA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5039169" w14:textId="3C0D8B1A" w:rsidR="001423DA" w:rsidRDefault="000C4F5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This policy applies to </w:t>
            </w:r>
            <w:r w:rsidR="00DB1192">
              <w:rPr>
                <w:rFonts w:cs="Times New Roman"/>
                <w:sz w:val="20"/>
                <w:szCs w:val="20"/>
              </w:rPr>
              <w:t xml:space="preserve">all data and information activities that occur within &lt;company name&gt; and </w:t>
            </w:r>
            <w:r w:rsidR="002A214F">
              <w:rPr>
                <w:rFonts w:cs="Times New Roman"/>
                <w:sz w:val="20"/>
                <w:szCs w:val="20"/>
              </w:rPr>
              <w:t xml:space="preserve">operational and </w:t>
            </w:r>
            <w:r w:rsidR="00DB1192">
              <w:rPr>
                <w:rFonts w:cs="Times New Roman"/>
                <w:sz w:val="20"/>
                <w:szCs w:val="20"/>
              </w:rPr>
              <w:t xml:space="preserve">security activities that must be performed to </w:t>
            </w:r>
            <w:r w:rsidR="002A214F">
              <w:rPr>
                <w:rFonts w:cs="Times New Roman"/>
                <w:sz w:val="20"/>
                <w:szCs w:val="20"/>
              </w:rPr>
              <w:t xml:space="preserve">prevent, identify, </w:t>
            </w:r>
            <w:proofErr w:type="gramStart"/>
            <w:r w:rsidR="002A214F">
              <w:rPr>
                <w:rFonts w:cs="Times New Roman"/>
                <w:sz w:val="20"/>
                <w:szCs w:val="20"/>
              </w:rPr>
              <w:t>address</w:t>
            </w:r>
            <w:proofErr w:type="gramEnd"/>
            <w:r w:rsidR="002A214F">
              <w:rPr>
                <w:rFonts w:cs="Times New Roman"/>
                <w:sz w:val="20"/>
                <w:szCs w:val="20"/>
              </w:rPr>
              <w:t xml:space="preserve"> and mitigate shadow IT activities</w:t>
            </w:r>
            <w:r w:rsidR="00DB1192">
              <w:rPr>
                <w:rFonts w:cs="Times New Roman"/>
                <w:sz w:val="20"/>
                <w:szCs w:val="20"/>
              </w:rPr>
              <w:t>.</w:t>
            </w:r>
          </w:p>
          <w:p w14:paraId="34EE3AE4" w14:textId="77777777" w:rsidR="001423DA" w:rsidRDefault="001423DA" w:rsidP="0048554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46D292BE" w14:textId="77777777">
        <w:tc>
          <w:tcPr>
            <w:tcW w:w="9576" w:type="dxa"/>
            <w:gridSpan w:val="2"/>
          </w:tcPr>
          <w:p w14:paraId="2CAA848B" w14:textId="77777777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Responsibility</w:t>
            </w:r>
          </w:p>
          <w:p w14:paraId="24AB94A0" w14:textId="77777777" w:rsidR="001423DA" w:rsidRDefault="001423DA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</w:p>
          <w:p w14:paraId="65718694" w14:textId="06BF91EC" w:rsidR="001423DA" w:rsidRDefault="000C4F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 xml:space="preserve">The IT </w:t>
            </w:r>
            <w:r w:rsidR="00E25A0F">
              <w:rPr>
                <w:rFonts w:cs="ArialMT"/>
                <w:sz w:val="20"/>
                <w:szCs w:val="20"/>
              </w:rPr>
              <w:t>d</w:t>
            </w:r>
            <w:r>
              <w:rPr>
                <w:rFonts w:cs="ArialMT"/>
                <w:sz w:val="20"/>
                <w:szCs w:val="20"/>
              </w:rPr>
              <w:t xml:space="preserve">epartment of </w:t>
            </w:r>
            <w:r w:rsidR="00485543">
              <w:rPr>
                <w:rFonts w:cs="ArialMT"/>
                <w:sz w:val="20"/>
                <w:szCs w:val="20"/>
              </w:rPr>
              <w:t xml:space="preserve">&lt;company name&gt; </w:t>
            </w:r>
            <w:r>
              <w:rPr>
                <w:rFonts w:cs="ArialMT"/>
                <w:sz w:val="20"/>
                <w:szCs w:val="20"/>
              </w:rPr>
              <w:t xml:space="preserve">is responsible for </w:t>
            </w:r>
            <w:r>
              <w:rPr>
                <w:sz w:val="20"/>
                <w:szCs w:val="20"/>
              </w:rPr>
              <w:t xml:space="preserve">managing, </w:t>
            </w:r>
            <w:proofErr w:type="gramStart"/>
            <w:r>
              <w:rPr>
                <w:sz w:val="20"/>
                <w:szCs w:val="20"/>
              </w:rPr>
              <w:t>upgrading</w:t>
            </w:r>
            <w:proofErr w:type="gramEnd"/>
            <w:r>
              <w:rPr>
                <w:sz w:val="20"/>
                <w:szCs w:val="20"/>
              </w:rPr>
              <w:t xml:space="preserve"> and maintaining the elements and components of the company</w:t>
            </w:r>
            <w:r w:rsidR="00D5753C">
              <w:rPr>
                <w:sz w:val="20"/>
                <w:szCs w:val="20"/>
              </w:rPr>
              <w:t>'</w:t>
            </w:r>
            <w:r>
              <w:rPr>
                <w:sz w:val="20"/>
                <w:szCs w:val="20"/>
              </w:rPr>
              <w:t>s computing environment</w:t>
            </w:r>
            <w:r w:rsidR="002D25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including, but not limited to, all hardware, systems, </w:t>
            </w:r>
            <w:r w:rsidR="00485543">
              <w:rPr>
                <w:sz w:val="20"/>
                <w:szCs w:val="20"/>
              </w:rPr>
              <w:t xml:space="preserve">data, databases, </w:t>
            </w:r>
            <w:r>
              <w:rPr>
                <w:sz w:val="20"/>
                <w:szCs w:val="20"/>
              </w:rPr>
              <w:t>associated peripheral devices</w:t>
            </w:r>
            <w:r w:rsidR="00E25A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primary and secondary software applications.</w:t>
            </w:r>
          </w:p>
          <w:p w14:paraId="4F44CE68" w14:textId="77777777" w:rsidR="001423DA" w:rsidRDefault="001423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DAF422D" w14:textId="7AACDBC2" w:rsidR="001423DA" w:rsidRDefault="000C4F55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IT </w:t>
            </w:r>
            <w:r w:rsidR="00E25A0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epartment is also responsible for </w:t>
            </w:r>
            <w:r>
              <w:rPr>
                <w:rFonts w:cs="ArialMT"/>
                <w:sz w:val="20"/>
                <w:szCs w:val="20"/>
              </w:rPr>
              <w:t xml:space="preserve">maintaining and updating this policy with the approval of the </w:t>
            </w:r>
            <w:r w:rsidR="00485543">
              <w:rPr>
                <w:rFonts w:cs="ArialMT"/>
                <w:sz w:val="20"/>
                <w:szCs w:val="20"/>
              </w:rPr>
              <w:t>&lt;enter title&gt;</w:t>
            </w:r>
            <w:r>
              <w:rPr>
                <w:rFonts w:cs="ArialMT"/>
                <w:sz w:val="20"/>
                <w:szCs w:val="20"/>
              </w:rPr>
              <w:t xml:space="preserve">, </w:t>
            </w:r>
            <w:r w:rsidR="00485543">
              <w:rPr>
                <w:rFonts w:cs="ArialMT"/>
                <w:sz w:val="20"/>
                <w:szCs w:val="20"/>
              </w:rPr>
              <w:t>&lt;enter title</w:t>
            </w:r>
            <w:r w:rsidR="00E25A0F">
              <w:rPr>
                <w:rFonts w:cs="ArialMT"/>
                <w:sz w:val="20"/>
                <w:szCs w:val="20"/>
              </w:rPr>
              <w:t>&gt;</w:t>
            </w:r>
            <w:r w:rsidR="00485543">
              <w:rPr>
                <w:rFonts w:cs="ArialMT"/>
                <w:sz w:val="20"/>
                <w:szCs w:val="20"/>
              </w:rPr>
              <w:t xml:space="preserve"> and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="00485543">
              <w:rPr>
                <w:rFonts w:cs="ArialMT"/>
                <w:sz w:val="20"/>
                <w:szCs w:val="20"/>
              </w:rPr>
              <w:t>&lt;enter title&gt;.</w:t>
            </w:r>
          </w:p>
          <w:p w14:paraId="678A7C61" w14:textId="77777777" w:rsidR="001423DA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297BE1FD" w14:textId="77777777">
        <w:tc>
          <w:tcPr>
            <w:tcW w:w="9576" w:type="dxa"/>
            <w:gridSpan w:val="2"/>
          </w:tcPr>
          <w:p w14:paraId="17546662" w14:textId="77777777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Objectives</w:t>
            </w:r>
          </w:p>
          <w:p w14:paraId="1BE86B89" w14:textId="77777777" w:rsidR="001423DA" w:rsidRDefault="001423DA">
            <w:pPr>
              <w:rPr>
                <w:sz w:val="20"/>
                <w:szCs w:val="20"/>
              </w:rPr>
            </w:pPr>
          </w:p>
          <w:p w14:paraId="3E722782" w14:textId="71ABD7D7" w:rsidR="001423DA" w:rsidRDefault="000C4F55">
            <w:pPr>
              <w:rPr>
                <w:rFonts w:cs="Frutiger45Light"/>
                <w:sz w:val="20"/>
                <w:szCs w:val="20"/>
                <w:lang w:bidi="th-TH"/>
              </w:rPr>
            </w:pPr>
            <w:r>
              <w:rPr>
                <w:sz w:val="20"/>
                <w:szCs w:val="20"/>
              </w:rPr>
              <w:t xml:space="preserve">The objective of this policy is </w:t>
            </w:r>
            <w:r>
              <w:rPr>
                <w:rFonts w:cs="Frutiger45Light"/>
                <w:sz w:val="20"/>
                <w:szCs w:val="20"/>
                <w:lang w:bidi="th-TH"/>
              </w:rPr>
              <w:t xml:space="preserve">to ensure </w:t>
            </w:r>
            <w:r w:rsidR="002A214F">
              <w:rPr>
                <w:rFonts w:cs="Frutiger45Light"/>
                <w:sz w:val="20"/>
                <w:szCs w:val="20"/>
                <w:lang w:bidi="th-TH"/>
              </w:rPr>
              <w:t xml:space="preserve">shadow IT activities affecting </w:t>
            </w:r>
            <w:r>
              <w:rPr>
                <w:rFonts w:cs="Frutiger45Light"/>
                <w:sz w:val="20"/>
                <w:szCs w:val="20"/>
                <w:lang w:bidi="th-TH"/>
              </w:rPr>
              <w:t xml:space="preserve">the </w:t>
            </w:r>
            <w:r w:rsidR="002A214F">
              <w:rPr>
                <w:rFonts w:cs="Frutiger45Light"/>
                <w:sz w:val="20"/>
                <w:szCs w:val="20"/>
                <w:lang w:bidi="th-TH"/>
              </w:rPr>
              <w:t xml:space="preserve">protection and </w:t>
            </w:r>
            <w:r w:rsidR="00485543">
              <w:rPr>
                <w:rFonts w:cs="Frutiger45Light"/>
                <w:sz w:val="20"/>
                <w:szCs w:val="20"/>
                <w:lang w:bidi="th-TH"/>
              </w:rPr>
              <w:t xml:space="preserve">security of </w:t>
            </w:r>
            <w:r w:rsidR="002A214F">
              <w:rPr>
                <w:rFonts w:cs="Frutiger45Light"/>
                <w:sz w:val="20"/>
                <w:szCs w:val="20"/>
                <w:lang w:bidi="th-TH"/>
              </w:rPr>
              <w:t xml:space="preserve">operations, </w:t>
            </w:r>
            <w:r w:rsidR="00485543">
              <w:rPr>
                <w:rFonts w:cs="Frutiger45Light"/>
                <w:sz w:val="20"/>
                <w:szCs w:val="20"/>
                <w:lang w:bidi="th-TH"/>
              </w:rPr>
              <w:t>data, databases</w:t>
            </w:r>
            <w:r w:rsidR="002A214F">
              <w:rPr>
                <w:rFonts w:cs="Frutiger45Light"/>
                <w:sz w:val="20"/>
                <w:szCs w:val="20"/>
                <w:lang w:bidi="th-TH"/>
              </w:rPr>
              <w:t xml:space="preserve">, networking, environmental </w:t>
            </w:r>
            <w:r w:rsidR="00485543">
              <w:rPr>
                <w:rFonts w:cs="Frutiger45Light"/>
                <w:sz w:val="20"/>
                <w:szCs w:val="20"/>
                <w:lang w:bidi="th-TH"/>
              </w:rPr>
              <w:t xml:space="preserve">and other </w:t>
            </w:r>
            <w:r w:rsidR="002A214F">
              <w:rPr>
                <w:rFonts w:cs="Frutiger45Light"/>
                <w:sz w:val="20"/>
                <w:szCs w:val="20"/>
                <w:lang w:bidi="th-TH"/>
              </w:rPr>
              <w:t xml:space="preserve">IT </w:t>
            </w:r>
            <w:r w:rsidR="00485543">
              <w:rPr>
                <w:rFonts w:cs="Frutiger45Light"/>
                <w:sz w:val="20"/>
                <w:szCs w:val="20"/>
                <w:lang w:bidi="th-TH"/>
              </w:rPr>
              <w:t xml:space="preserve">resources used by the </w:t>
            </w:r>
            <w:r w:rsidR="00E25A0F">
              <w:rPr>
                <w:rFonts w:cs="Frutiger45Light"/>
                <w:sz w:val="20"/>
                <w:szCs w:val="20"/>
                <w:lang w:bidi="th-TH"/>
              </w:rPr>
              <w:t>c</w:t>
            </w:r>
            <w:r w:rsidR="00485543">
              <w:rPr>
                <w:rFonts w:cs="Frutiger45Light"/>
                <w:sz w:val="20"/>
                <w:szCs w:val="20"/>
                <w:lang w:bidi="th-TH"/>
              </w:rPr>
              <w:t xml:space="preserve">ompany </w:t>
            </w:r>
            <w:r w:rsidR="002A214F">
              <w:rPr>
                <w:rFonts w:cs="Frutiger45Light"/>
                <w:sz w:val="20"/>
                <w:szCs w:val="20"/>
                <w:lang w:bidi="th-TH"/>
              </w:rPr>
              <w:t xml:space="preserve">are prevented, identified, </w:t>
            </w:r>
            <w:proofErr w:type="gramStart"/>
            <w:r w:rsidR="002A214F">
              <w:rPr>
                <w:rFonts w:cs="Frutiger45Light"/>
                <w:sz w:val="20"/>
                <w:szCs w:val="20"/>
                <w:lang w:bidi="th-TH"/>
              </w:rPr>
              <w:t>addressed</w:t>
            </w:r>
            <w:proofErr w:type="gramEnd"/>
            <w:r w:rsidR="002A214F">
              <w:rPr>
                <w:rFonts w:cs="Frutiger45Light"/>
                <w:sz w:val="20"/>
                <w:szCs w:val="20"/>
                <w:lang w:bidi="th-TH"/>
              </w:rPr>
              <w:t xml:space="preserve"> and mitigated</w:t>
            </w:r>
            <w:r w:rsidR="00485543">
              <w:rPr>
                <w:rFonts w:cs="Frutiger45Light"/>
                <w:sz w:val="20"/>
                <w:szCs w:val="20"/>
                <w:lang w:bidi="th-TH"/>
              </w:rPr>
              <w:t>.</w:t>
            </w:r>
            <w:r w:rsidR="00E25A0F">
              <w:rPr>
                <w:rFonts w:cs="Frutiger45Light"/>
                <w:sz w:val="20"/>
                <w:szCs w:val="20"/>
                <w:lang w:bidi="th-TH"/>
              </w:rPr>
              <w:t xml:space="preserve"> </w:t>
            </w:r>
            <w:r w:rsidR="00485543">
              <w:rPr>
                <w:rFonts w:cs="Frutiger45Light"/>
                <w:sz w:val="20"/>
                <w:szCs w:val="20"/>
                <w:lang w:bidi="th-TH"/>
              </w:rPr>
              <w:t xml:space="preserve">This </w:t>
            </w:r>
            <w:r w:rsidR="002A214F">
              <w:rPr>
                <w:rFonts w:cs="Frutiger45Light"/>
                <w:sz w:val="20"/>
                <w:szCs w:val="20"/>
                <w:lang w:bidi="th-TH"/>
              </w:rPr>
              <w:t>policy integrates with and complements existing policies and procedures addressing IT operations, physical and logical security</w:t>
            </w:r>
            <w:r w:rsidR="00E25A0F">
              <w:rPr>
                <w:rFonts w:cs="Frutiger45Light"/>
                <w:sz w:val="20"/>
                <w:szCs w:val="20"/>
                <w:lang w:bidi="th-TH"/>
              </w:rPr>
              <w:t>,</w:t>
            </w:r>
            <w:r w:rsidR="002A214F">
              <w:rPr>
                <w:rFonts w:cs="Frutiger45Light"/>
                <w:sz w:val="20"/>
                <w:szCs w:val="20"/>
                <w:lang w:bidi="th-TH"/>
              </w:rPr>
              <w:t xml:space="preserve"> and other operational activities </w:t>
            </w:r>
            <w:r>
              <w:rPr>
                <w:rFonts w:cs="Frutiger45Light"/>
                <w:sz w:val="20"/>
                <w:szCs w:val="20"/>
                <w:lang w:bidi="th-TH"/>
              </w:rPr>
              <w:t xml:space="preserve">needed by </w:t>
            </w:r>
            <w:r w:rsidR="00485543">
              <w:rPr>
                <w:rFonts w:cs="Frutiger45Light"/>
                <w:sz w:val="20"/>
                <w:szCs w:val="20"/>
                <w:lang w:bidi="th-TH"/>
              </w:rPr>
              <w:t xml:space="preserve">&lt;company&gt; </w:t>
            </w:r>
            <w:r>
              <w:rPr>
                <w:rFonts w:cs="Frutiger45Light"/>
                <w:sz w:val="20"/>
                <w:szCs w:val="20"/>
                <w:lang w:bidi="th-TH"/>
              </w:rPr>
              <w:t>to conduct its business.</w:t>
            </w:r>
          </w:p>
          <w:p w14:paraId="3C627DAB" w14:textId="77777777" w:rsidR="001423DA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0D57ED97" w14:textId="77777777">
        <w:tc>
          <w:tcPr>
            <w:tcW w:w="9576" w:type="dxa"/>
            <w:gridSpan w:val="2"/>
          </w:tcPr>
          <w:p w14:paraId="10996AB9" w14:textId="68844F2F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Strategy and </w:t>
            </w:r>
            <w:r w:rsidR="00E25A0F">
              <w:rPr>
                <w:rFonts w:cs="Times New Roman"/>
                <w:b/>
                <w:sz w:val="20"/>
                <w:szCs w:val="20"/>
              </w:rPr>
              <w:t>f</w:t>
            </w:r>
            <w:r>
              <w:rPr>
                <w:rFonts w:cs="Times New Roman"/>
                <w:b/>
                <w:sz w:val="20"/>
                <w:szCs w:val="20"/>
              </w:rPr>
              <w:t>ocus</w:t>
            </w:r>
          </w:p>
          <w:p w14:paraId="689FFD71" w14:textId="77777777" w:rsidR="001423DA" w:rsidRDefault="001423DA">
            <w:pPr>
              <w:rPr>
                <w:rFonts w:cs="Times New Roman"/>
                <w:sz w:val="20"/>
                <w:szCs w:val="20"/>
              </w:rPr>
            </w:pPr>
          </w:p>
          <w:p w14:paraId="5CCAC7C4" w14:textId="7DA3F2BB" w:rsidR="001423DA" w:rsidRDefault="004855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&lt;Company name&gt;</w:t>
            </w:r>
            <w:r w:rsidR="00D5753C">
              <w:rPr>
                <w:sz w:val="20"/>
                <w:szCs w:val="20"/>
              </w:rPr>
              <w:t>'</w:t>
            </w:r>
            <w:r w:rsidR="000C4F55">
              <w:rPr>
                <w:sz w:val="20"/>
                <w:szCs w:val="20"/>
              </w:rPr>
              <w:t xml:space="preserve">s primary strategy for </w:t>
            </w:r>
            <w:r w:rsidR="002A214F">
              <w:rPr>
                <w:sz w:val="20"/>
                <w:szCs w:val="20"/>
              </w:rPr>
              <w:t>addressing shadow activities is multipronged.</w:t>
            </w:r>
            <w:r w:rsidR="00E25A0F">
              <w:rPr>
                <w:sz w:val="20"/>
                <w:szCs w:val="20"/>
              </w:rPr>
              <w:t xml:space="preserve"> </w:t>
            </w:r>
            <w:r w:rsidR="002D2554">
              <w:rPr>
                <w:sz w:val="20"/>
                <w:szCs w:val="20"/>
              </w:rPr>
              <w:t>Us</w:t>
            </w:r>
            <w:r w:rsidR="004D5D93">
              <w:rPr>
                <w:sz w:val="20"/>
                <w:szCs w:val="20"/>
              </w:rPr>
              <w:t xml:space="preserve">ing and complementing existing policies and procedures for IT operations and security, this policy </w:t>
            </w:r>
            <w:r w:rsidR="000C4F55">
              <w:rPr>
                <w:sz w:val="20"/>
                <w:szCs w:val="20"/>
              </w:rPr>
              <w:t>ensure</w:t>
            </w:r>
            <w:r w:rsidR="004D5D93">
              <w:rPr>
                <w:sz w:val="20"/>
                <w:szCs w:val="20"/>
              </w:rPr>
              <w:t>s</w:t>
            </w:r>
            <w:r w:rsidR="000C4F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&lt;co</w:t>
            </w:r>
            <w:r w:rsidR="00810167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pa</w:t>
            </w:r>
            <w:r w:rsidR="00810167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y name&gt;</w:t>
            </w:r>
            <w:r w:rsidR="00D5753C">
              <w:rPr>
                <w:sz w:val="20"/>
                <w:szCs w:val="20"/>
              </w:rPr>
              <w:t>'</w:t>
            </w:r>
            <w:r w:rsidR="000C4F55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data resources </w:t>
            </w:r>
            <w:r w:rsidR="004D5D93">
              <w:rPr>
                <w:sz w:val="20"/>
                <w:szCs w:val="20"/>
              </w:rPr>
              <w:t xml:space="preserve">and operations </w:t>
            </w:r>
            <w:r>
              <w:rPr>
                <w:sz w:val="20"/>
                <w:szCs w:val="20"/>
              </w:rPr>
              <w:t xml:space="preserve">are </w:t>
            </w:r>
            <w:r w:rsidR="000C4F55">
              <w:rPr>
                <w:sz w:val="20"/>
                <w:szCs w:val="20"/>
              </w:rPr>
              <w:t>secure, ha</w:t>
            </w:r>
            <w:r>
              <w:rPr>
                <w:sz w:val="20"/>
                <w:szCs w:val="20"/>
              </w:rPr>
              <w:t>ve</w:t>
            </w:r>
            <w:r w:rsidR="000C4F55">
              <w:rPr>
                <w:sz w:val="20"/>
                <w:szCs w:val="20"/>
              </w:rPr>
              <w:t xml:space="preserve"> appropriate access </w:t>
            </w:r>
            <w:r w:rsidR="004D5D93">
              <w:rPr>
                <w:sz w:val="20"/>
                <w:szCs w:val="20"/>
              </w:rPr>
              <w:t xml:space="preserve">and security </w:t>
            </w:r>
            <w:r w:rsidR="000C4F55">
              <w:rPr>
                <w:sz w:val="20"/>
                <w:szCs w:val="20"/>
              </w:rPr>
              <w:t xml:space="preserve">controls, </w:t>
            </w:r>
            <w:r w:rsidR="004D5D93">
              <w:rPr>
                <w:sz w:val="20"/>
                <w:szCs w:val="20"/>
              </w:rPr>
              <w:t xml:space="preserve">and </w:t>
            </w:r>
            <w:r w:rsidR="000C4F55">
              <w:rPr>
                <w:sz w:val="20"/>
                <w:szCs w:val="20"/>
              </w:rPr>
              <w:t>ha</w:t>
            </w:r>
            <w:r>
              <w:rPr>
                <w:sz w:val="20"/>
                <w:szCs w:val="20"/>
              </w:rPr>
              <w:t>ve</w:t>
            </w:r>
            <w:r w:rsidR="000C4F55">
              <w:rPr>
                <w:sz w:val="20"/>
                <w:szCs w:val="20"/>
              </w:rPr>
              <w:t xml:space="preserve"> procedures to identify and prevent unauthorized access to </w:t>
            </w:r>
            <w:r>
              <w:rPr>
                <w:sz w:val="20"/>
                <w:szCs w:val="20"/>
              </w:rPr>
              <w:t xml:space="preserve">&lt;company name&gt; </w:t>
            </w:r>
            <w:r w:rsidR="004D5D93">
              <w:rPr>
                <w:sz w:val="20"/>
                <w:szCs w:val="20"/>
              </w:rPr>
              <w:t xml:space="preserve">systems, networks, </w:t>
            </w:r>
            <w:proofErr w:type="gramStart"/>
            <w:r w:rsidR="000C4F55">
              <w:rPr>
                <w:sz w:val="20"/>
                <w:szCs w:val="20"/>
              </w:rPr>
              <w:t>data</w:t>
            </w:r>
            <w:proofErr w:type="gramEnd"/>
            <w:r>
              <w:rPr>
                <w:sz w:val="20"/>
                <w:szCs w:val="20"/>
              </w:rPr>
              <w:t xml:space="preserve"> and databases</w:t>
            </w:r>
            <w:r w:rsidR="004D5D93">
              <w:rPr>
                <w:sz w:val="20"/>
                <w:szCs w:val="20"/>
              </w:rPr>
              <w:t>.</w:t>
            </w:r>
            <w:r w:rsidR="00E25A0F">
              <w:rPr>
                <w:sz w:val="20"/>
                <w:szCs w:val="20"/>
              </w:rPr>
              <w:t xml:space="preserve"> </w:t>
            </w:r>
            <w:r w:rsidR="004D5D93">
              <w:rPr>
                <w:sz w:val="20"/>
                <w:szCs w:val="20"/>
              </w:rPr>
              <w:t xml:space="preserve">This includes operations and resources that may be </w:t>
            </w:r>
            <w:r w:rsidR="00810167">
              <w:rPr>
                <w:sz w:val="20"/>
                <w:szCs w:val="20"/>
              </w:rPr>
              <w:t xml:space="preserve">locally accessed </w:t>
            </w:r>
            <w:r w:rsidR="004D5D93">
              <w:rPr>
                <w:sz w:val="20"/>
                <w:szCs w:val="20"/>
              </w:rPr>
              <w:t xml:space="preserve">in a physical data center </w:t>
            </w:r>
            <w:r w:rsidR="00810167">
              <w:rPr>
                <w:sz w:val="20"/>
                <w:szCs w:val="20"/>
              </w:rPr>
              <w:t xml:space="preserve">or </w:t>
            </w:r>
            <w:r w:rsidR="004D5D93">
              <w:rPr>
                <w:sz w:val="20"/>
                <w:szCs w:val="20"/>
              </w:rPr>
              <w:t xml:space="preserve">implemented on technology platforms </w:t>
            </w:r>
            <w:r w:rsidR="00810167">
              <w:rPr>
                <w:sz w:val="20"/>
                <w:szCs w:val="20"/>
              </w:rPr>
              <w:t xml:space="preserve">in managed services, such as cloud </w:t>
            </w:r>
            <w:r w:rsidR="004D5D93">
              <w:rPr>
                <w:sz w:val="20"/>
                <w:szCs w:val="20"/>
              </w:rPr>
              <w:t>technology</w:t>
            </w:r>
            <w:r w:rsidR="00810167">
              <w:rPr>
                <w:sz w:val="20"/>
                <w:szCs w:val="20"/>
              </w:rPr>
              <w:t xml:space="preserve">, </w:t>
            </w:r>
            <w:r w:rsidR="000C4F55">
              <w:rPr>
                <w:sz w:val="20"/>
                <w:szCs w:val="20"/>
              </w:rPr>
              <w:t xml:space="preserve">and </w:t>
            </w:r>
            <w:r w:rsidR="002D2554">
              <w:rPr>
                <w:sz w:val="20"/>
                <w:szCs w:val="20"/>
              </w:rPr>
              <w:t>are</w:t>
            </w:r>
            <w:r w:rsidR="000C4F55">
              <w:rPr>
                <w:sz w:val="20"/>
                <w:szCs w:val="20"/>
              </w:rPr>
              <w:t xml:space="preserve"> aligned with the principles </w:t>
            </w:r>
            <w:r w:rsidR="004D5D93">
              <w:rPr>
                <w:sz w:val="20"/>
                <w:szCs w:val="20"/>
              </w:rPr>
              <w:t xml:space="preserve">presented </w:t>
            </w:r>
            <w:r w:rsidR="000C4F55">
              <w:rPr>
                <w:sz w:val="20"/>
                <w:szCs w:val="20"/>
              </w:rPr>
              <w:t>in global information security standards ISO/IEC 27001 and ISO/IEC 27002</w:t>
            </w:r>
            <w:r w:rsidR="005D63A3">
              <w:rPr>
                <w:sz w:val="20"/>
                <w:szCs w:val="20"/>
              </w:rPr>
              <w:t xml:space="preserve"> and U.S</w:t>
            </w:r>
            <w:r w:rsidR="002D2554">
              <w:rPr>
                <w:sz w:val="20"/>
                <w:szCs w:val="20"/>
              </w:rPr>
              <w:t>.</w:t>
            </w:r>
            <w:r w:rsidR="005D63A3">
              <w:rPr>
                <w:sz w:val="20"/>
                <w:szCs w:val="20"/>
              </w:rPr>
              <w:t xml:space="preserve"> standards NIST SP</w:t>
            </w:r>
            <w:r w:rsidR="00E25A0F">
              <w:rPr>
                <w:sz w:val="20"/>
                <w:szCs w:val="20"/>
              </w:rPr>
              <w:t xml:space="preserve"> </w:t>
            </w:r>
            <w:r w:rsidR="005D63A3">
              <w:rPr>
                <w:sz w:val="20"/>
                <w:szCs w:val="20"/>
              </w:rPr>
              <w:t>800-53, FISMA and HIPAA (data security)</w:t>
            </w:r>
            <w:r w:rsidR="000C4F55">
              <w:rPr>
                <w:sz w:val="20"/>
                <w:szCs w:val="20"/>
              </w:rPr>
              <w:t>.</w:t>
            </w:r>
          </w:p>
          <w:p w14:paraId="6A5EA3BC" w14:textId="77777777" w:rsidR="001423DA" w:rsidRDefault="001423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BBC54F6" w14:textId="2F051277" w:rsidR="001423DA" w:rsidRDefault="000C4F55">
            <w:pPr>
              <w:autoSpaceDE w:val="0"/>
              <w:autoSpaceDN w:val="0"/>
              <w:adjustRightInd w:val="0"/>
              <w:rPr>
                <w:rFonts w:cs="Frutiger45Light"/>
                <w:sz w:val="20"/>
                <w:szCs w:val="20"/>
                <w:lang w:bidi="th-TH"/>
              </w:rPr>
            </w:pPr>
            <w:r>
              <w:rPr>
                <w:sz w:val="20"/>
                <w:szCs w:val="20"/>
              </w:rPr>
              <w:t xml:space="preserve">This policy addresses all IT </w:t>
            </w:r>
            <w:r w:rsidR="004D5D93">
              <w:rPr>
                <w:sz w:val="20"/>
                <w:szCs w:val="20"/>
              </w:rPr>
              <w:t xml:space="preserve">operational and networking activities, data resources, physical and logical security, and employees </w:t>
            </w:r>
            <w:r>
              <w:rPr>
                <w:sz w:val="20"/>
                <w:szCs w:val="20"/>
              </w:rPr>
              <w:t xml:space="preserve">at </w:t>
            </w:r>
            <w:r w:rsidR="00485543">
              <w:rPr>
                <w:sz w:val="20"/>
                <w:szCs w:val="20"/>
              </w:rPr>
              <w:t>&lt;company name&gt;</w:t>
            </w:r>
            <w:r w:rsidR="004D5D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within the IT computing environment.</w:t>
            </w:r>
          </w:p>
          <w:p w14:paraId="13145044" w14:textId="77777777" w:rsidR="001423DA" w:rsidRDefault="001423D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1ED45D84" w14:textId="77777777">
        <w:tc>
          <w:tcPr>
            <w:tcW w:w="9576" w:type="dxa"/>
            <w:gridSpan w:val="2"/>
          </w:tcPr>
          <w:p w14:paraId="014265C5" w14:textId="77777777" w:rsidR="001423DA" w:rsidRDefault="000C4F5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Policy</w:t>
            </w:r>
          </w:p>
          <w:p w14:paraId="6B46D49C" w14:textId="77777777" w:rsidR="001423DA" w:rsidRDefault="001423DA">
            <w:pPr>
              <w:rPr>
                <w:rFonts w:cs="Times New Roman"/>
                <w:sz w:val="20"/>
                <w:szCs w:val="20"/>
              </w:rPr>
            </w:pPr>
          </w:p>
          <w:p w14:paraId="17575EA9" w14:textId="4D01034E" w:rsidR="001423DA" w:rsidRDefault="000C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confidentiality, integrity and availability of </w:t>
            </w:r>
            <w:r w:rsidR="00E25A0F">
              <w:rPr>
                <w:sz w:val="20"/>
                <w:szCs w:val="20"/>
              </w:rPr>
              <w:t>c</w:t>
            </w:r>
            <w:r w:rsidR="0076772B">
              <w:rPr>
                <w:sz w:val="20"/>
                <w:szCs w:val="20"/>
              </w:rPr>
              <w:t xml:space="preserve">ompany </w:t>
            </w:r>
            <w:r w:rsidR="00527FAC">
              <w:rPr>
                <w:sz w:val="20"/>
                <w:szCs w:val="20"/>
              </w:rPr>
              <w:t xml:space="preserve">IT operations, networking, </w:t>
            </w:r>
            <w:r w:rsidR="0076772B">
              <w:rPr>
                <w:sz w:val="20"/>
                <w:szCs w:val="20"/>
              </w:rPr>
              <w:t xml:space="preserve">data, </w:t>
            </w:r>
            <w:proofErr w:type="gramStart"/>
            <w:r w:rsidR="0076772B">
              <w:rPr>
                <w:sz w:val="20"/>
                <w:szCs w:val="20"/>
              </w:rPr>
              <w:t>databases</w:t>
            </w:r>
            <w:proofErr w:type="gramEnd"/>
            <w:r w:rsidR="0076772B">
              <w:rPr>
                <w:sz w:val="20"/>
                <w:szCs w:val="20"/>
              </w:rPr>
              <w:t xml:space="preserve"> and other information resources </w:t>
            </w:r>
            <w:r>
              <w:rPr>
                <w:sz w:val="20"/>
                <w:szCs w:val="20"/>
              </w:rPr>
              <w:t xml:space="preserve">are to be </w:t>
            </w:r>
            <w:r w:rsidR="00527FAC">
              <w:rPr>
                <w:sz w:val="20"/>
                <w:szCs w:val="20"/>
              </w:rPr>
              <w:t xml:space="preserve">protected from unauthorized shadow IT attacks via a coordinated program </w:t>
            </w:r>
            <w:r w:rsidR="00E25A0F">
              <w:rPr>
                <w:sz w:val="20"/>
                <w:szCs w:val="20"/>
              </w:rPr>
              <w:t xml:space="preserve">using </w:t>
            </w:r>
            <w:r w:rsidR="00527FAC">
              <w:rPr>
                <w:sz w:val="20"/>
                <w:szCs w:val="20"/>
              </w:rPr>
              <w:t xml:space="preserve">existing security policies and procedures, partnering with other </w:t>
            </w:r>
            <w:r w:rsidR="00E25A0F">
              <w:rPr>
                <w:sz w:val="20"/>
                <w:szCs w:val="20"/>
              </w:rPr>
              <w:t>c</w:t>
            </w:r>
            <w:r w:rsidR="00527FAC">
              <w:rPr>
                <w:sz w:val="20"/>
                <w:szCs w:val="20"/>
              </w:rPr>
              <w:t>ompany departments (</w:t>
            </w:r>
            <w:r w:rsidR="00E25A0F">
              <w:rPr>
                <w:sz w:val="20"/>
                <w:szCs w:val="20"/>
              </w:rPr>
              <w:t>for example</w:t>
            </w:r>
            <w:r w:rsidR="00527FAC">
              <w:rPr>
                <w:sz w:val="20"/>
                <w:szCs w:val="20"/>
              </w:rPr>
              <w:t xml:space="preserve">, </w:t>
            </w:r>
            <w:r w:rsidR="002D2554">
              <w:rPr>
                <w:sz w:val="20"/>
                <w:szCs w:val="20"/>
              </w:rPr>
              <w:t>HR</w:t>
            </w:r>
            <w:r w:rsidR="00E25A0F">
              <w:rPr>
                <w:sz w:val="20"/>
                <w:szCs w:val="20"/>
              </w:rPr>
              <w:t xml:space="preserve"> and</w:t>
            </w:r>
            <w:r w:rsidR="00527FAC">
              <w:rPr>
                <w:sz w:val="20"/>
                <w:szCs w:val="20"/>
              </w:rPr>
              <w:t xml:space="preserve"> legal) </w:t>
            </w:r>
            <w:r w:rsidR="00527FAC">
              <w:rPr>
                <w:sz w:val="20"/>
                <w:szCs w:val="20"/>
              </w:rPr>
              <w:lastRenderedPageBreak/>
              <w:t>and procedures to quickly identify suspicious activity, respond to the activity</w:t>
            </w:r>
            <w:r w:rsidR="002D2554">
              <w:rPr>
                <w:sz w:val="20"/>
                <w:szCs w:val="20"/>
              </w:rPr>
              <w:t xml:space="preserve"> </w:t>
            </w:r>
            <w:r w:rsidR="00527FAC">
              <w:rPr>
                <w:sz w:val="20"/>
                <w:szCs w:val="20"/>
              </w:rPr>
              <w:t>and mitigate it from causing any damage to IT operations.</w:t>
            </w:r>
            <w:r w:rsidR="00E25A0F">
              <w:rPr>
                <w:sz w:val="20"/>
                <w:szCs w:val="20"/>
              </w:rPr>
              <w:t xml:space="preserve"> </w:t>
            </w:r>
            <w:r w:rsidR="00527FAC">
              <w:rPr>
                <w:sz w:val="20"/>
                <w:szCs w:val="20"/>
              </w:rPr>
              <w:t>The shadow IT initiative can be standalone or part of existing IT security activities.</w:t>
            </w:r>
            <w:r w:rsidR="00E25A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</w:t>
            </w:r>
            <w:r w:rsidR="00527FAC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 xml:space="preserve">program will provide a controlled and orderly method by which </w:t>
            </w:r>
            <w:r w:rsidR="00527FAC">
              <w:rPr>
                <w:sz w:val="20"/>
                <w:szCs w:val="20"/>
              </w:rPr>
              <w:t>suspicious IT activities are identified and mitigated, with specific post</w:t>
            </w:r>
            <w:r w:rsidR="00E25A0F">
              <w:rPr>
                <w:sz w:val="20"/>
                <w:szCs w:val="20"/>
              </w:rPr>
              <w:t>-</w:t>
            </w:r>
            <w:r w:rsidR="00527FAC">
              <w:rPr>
                <w:sz w:val="20"/>
                <w:szCs w:val="20"/>
              </w:rPr>
              <w:t>event procedures for dealing with the perpetrator(s) of the attack.</w:t>
            </w:r>
          </w:p>
          <w:p w14:paraId="0DD72D53" w14:textId="77777777" w:rsidR="00527FAC" w:rsidRDefault="00527FAC">
            <w:pPr>
              <w:rPr>
                <w:rFonts w:cs="Frutiger45Light"/>
                <w:sz w:val="20"/>
                <w:szCs w:val="20"/>
                <w:lang w:bidi="th-TH"/>
              </w:rPr>
            </w:pPr>
          </w:p>
          <w:p w14:paraId="12F277E9" w14:textId="1EFA40B3" w:rsidR="001423DA" w:rsidRDefault="000C4F55">
            <w:pPr>
              <w:autoSpaceDE w:val="0"/>
              <w:autoSpaceDN w:val="0"/>
              <w:adjustRightInd w:val="0"/>
              <w:rPr>
                <w:rFonts w:cs="Frutiger45Light"/>
                <w:sz w:val="20"/>
                <w:szCs w:val="20"/>
                <w:lang w:bidi="th-TH"/>
              </w:rPr>
            </w:pPr>
            <w:r>
              <w:rPr>
                <w:rFonts w:cs="Frutiger45Light"/>
                <w:sz w:val="20"/>
                <w:szCs w:val="20"/>
                <w:lang w:bidi="th-TH"/>
              </w:rPr>
              <w:t xml:space="preserve">The following </w:t>
            </w:r>
            <w:r w:rsidR="00527FAC">
              <w:rPr>
                <w:rFonts w:cs="Frutiger45Light"/>
                <w:sz w:val="20"/>
                <w:szCs w:val="20"/>
                <w:lang w:bidi="th-TH"/>
              </w:rPr>
              <w:t>actions must be developed into procedures that respond to shadow IT events</w:t>
            </w:r>
            <w:r>
              <w:rPr>
                <w:rFonts w:cs="Frutiger45Light"/>
                <w:sz w:val="20"/>
                <w:szCs w:val="20"/>
                <w:lang w:bidi="th-TH"/>
              </w:rPr>
              <w:t>:</w:t>
            </w:r>
          </w:p>
          <w:p w14:paraId="7AEEE64E" w14:textId="77777777" w:rsidR="001423DA" w:rsidRDefault="001423DA">
            <w:pPr>
              <w:autoSpaceDE w:val="0"/>
              <w:autoSpaceDN w:val="0"/>
              <w:adjustRightInd w:val="0"/>
              <w:rPr>
                <w:rFonts w:cs="Frutiger45Light"/>
                <w:sz w:val="20"/>
                <w:szCs w:val="20"/>
                <w:lang w:bidi="th-TH"/>
              </w:rPr>
            </w:pPr>
          </w:p>
          <w:p w14:paraId="3A06352C" w14:textId="34F51928" w:rsidR="00527FAC" w:rsidRDefault="000C4F5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IT department will define processes and procedures</w:t>
            </w:r>
            <w:r w:rsidR="00527FAC">
              <w:rPr>
                <w:rFonts w:asciiTheme="minorHAnsi" w:hAnsiTheme="minorHAnsi"/>
                <w:sz w:val="20"/>
                <w:szCs w:val="20"/>
              </w:rPr>
              <w:t xml:space="preserve"> to identify, address and mitigate suspected shadow IT activities</w:t>
            </w:r>
            <w:r w:rsidR="00D575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B32B61F" w14:textId="0190C768" w:rsidR="00181BA8" w:rsidRDefault="00527FAC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</w:t>
            </w:r>
            <w:r w:rsidR="00181BA8">
              <w:rPr>
                <w:rFonts w:asciiTheme="minorHAnsi" w:hAnsiTheme="minorHAnsi"/>
                <w:sz w:val="20"/>
                <w:szCs w:val="20"/>
              </w:rPr>
              <w:t xml:space="preserve">will consider using </w:t>
            </w:r>
            <w:r w:rsidR="000C4F55">
              <w:rPr>
                <w:rFonts w:asciiTheme="minorHAnsi" w:hAnsiTheme="minorHAnsi"/>
                <w:sz w:val="20"/>
                <w:szCs w:val="20"/>
              </w:rPr>
              <w:t xml:space="preserve">specialized software and systems to reduce the threat of </w:t>
            </w:r>
            <w:r w:rsidR="00181BA8">
              <w:rPr>
                <w:rFonts w:asciiTheme="minorHAnsi" w:hAnsiTheme="minorHAnsi"/>
                <w:sz w:val="20"/>
                <w:szCs w:val="20"/>
              </w:rPr>
              <w:t>shadow IT activities by identifying suspicious activity and providing evidence of that activity</w:t>
            </w:r>
            <w:r w:rsidR="00D575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38194A3" w14:textId="2A3E92FC" w:rsidR="00181BA8" w:rsidRDefault="00181BA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IT department will include a discussion of suspected shadow IT activities during daily, weekly and/or monthly meetings</w:t>
            </w:r>
            <w:r w:rsidR="00D575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1D2FEEBC" w14:textId="3AE8B5A2" w:rsidR="001423DA" w:rsidRDefault="00181BA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</w:t>
            </w:r>
            <w:r w:rsidR="000C4F55">
              <w:rPr>
                <w:rFonts w:asciiTheme="minorHAnsi" w:hAnsiTheme="minorHAnsi"/>
                <w:sz w:val="20"/>
                <w:szCs w:val="20"/>
              </w:rPr>
              <w:t>regularly test the security of the company</w:t>
            </w:r>
            <w:r w:rsidR="002D2554">
              <w:rPr>
                <w:rFonts w:asciiTheme="minorHAnsi" w:hAnsiTheme="minorHAnsi"/>
                <w:sz w:val="20"/>
                <w:szCs w:val="20"/>
              </w:rPr>
              <w:t>’</w:t>
            </w:r>
            <w:r w:rsidR="000C4F55">
              <w:rPr>
                <w:rFonts w:asciiTheme="minorHAnsi" w:hAnsiTheme="minorHAnsi"/>
                <w:sz w:val="20"/>
                <w:szCs w:val="20"/>
              </w:rPr>
              <w:t xml:space="preserve">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network </w:t>
            </w:r>
            <w:r w:rsidR="000C4F55">
              <w:rPr>
                <w:rFonts w:asciiTheme="minorHAnsi" w:hAnsiTheme="minorHAnsi"/>
                <w:sz w:val="20"/>
                <w:szCs w:val="20"/>
              </w:rPr>
              <w:t>perimeters using penetration tests and other forensic methods and document all procedures and controls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with an emphasis on shadow IT</w:t>
            </w:r>
            <w:r w:rsidR="000C4F55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2E65AA4" w14:textId="52DAA797" w:rsidR="00587AA7" w:rsidRDefault="00587AA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IT department will periodically test the physical security (</w:t>
            </w:r>
            <w:r w:rsidR="00E25A0F">
              <w:rPr>
                <w:rFonts w:asciiTheme="minorHAnsi" w:hAnsiTheme="minorHAnsi"/>
                <w:sz w:val="20"/>
                <w:szCs w:val="20"/>
              </w:rPr>
              <w:t>for example</w:t>
            </w:r>
            <w:r>
              <w:rPr>
                <w:rFonts w:asciiTheme="minorHAnsi" w:hAnsiTheme="minorHAnsi"/>
                <w:sz w:val="20"/>
                <w:szCs w:val="20"/>
              </w:rPr>
              <w:t>, data center access) with an emphasis on shadow IT</w:t>
            </w:r>
            <w:r w:rsidR="00D575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A303631" w14:textId="1E74A929" w:rsidR="00587AA7" w:rsidRDefault="00587AA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IT department will include shadow IT considerations when it reviews and tests its controls for physical and logical security access</w:t>
            </w:r>
            <w:r w:rsidR="00D575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69BF63A" w14:textId="5BCD2470" w:rsidR="00587AA7" w:rsidRDefault="00587AA7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periodically liaise with </w:t>
            </w:r>
            <w:r w:rsidR="00E25A0F">
              <w:rPr>
                <w:rFonts w:asciiTheme="minorHAnsi" w:hAnsiTheme="minorHAnsi"/>
                <w:sz w:val="20"/>
                <w:szCs w:val="20"/>
              </w:rPr>
              <w:t>HR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E25A0F">
              <w:rPr>
                <w:rFonts w:asciiTheme="minorHAnsi" w:hAnsiTheme="minorHAnsi"/>
                <w:sz w:val="20"/>
                <w:szCs w:val="20"/>
              </w:rPr>
              <w:t>l</w:t>
            </w:r>
            <w:r>
              <w:rPr>
                <w:rFonts w:asciiTheme="minorHAnsi" w:hAnsiTheme="minorHAnsi"/>
                <w:sz w:val="20"/>
                <w:szCs w:val="20"/>
              </w:rPr>
              <w:t>egal departments on shadow IT issues</w:t>
            </w:r>
            <w:r w:rsidR="00D575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841F5A6" w14:textId="4A91D89F" w:rsidR="001423DA" w:rsidRDefault="000C4F5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periodically conduct a risk assessment of the internal and external threats and vulnerabilities </w:t>
            </w:r>
            <w:r w:rsidR="00587AA7">
              <w:rPr>
                <w:rFonts w:asciiTheme="minorHAnsi" w:hAnsiTheme="minorHAnsi"/>
                <w:sz w:val="20"/>
                <w:szCs w:val="20"/>
              </w:rPr>
              <w:t xml:space="preserve">(including shadow IT)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the </w:t>
            </w:r>
            <w:r w:rsidR="0076772B">
              <w:rPr>
                <w:rFonts w:asciiTheme="minorHAnsi" w:hAnsiTheme="minorHAnsi"/>
                <w:sz w:val="20"/>
                <w:szCs w:val="20"/>
              </w:rPr>
              <w:t xml:space="preserve">&lt;company name&gt; </w:t>
            </w:r>
            <w:r w:rsidR="00587AA7">
              <w:rPr>
                <w:rFonts w:asciiTheme="minorHAnsi" w:hAnsiTheme="minorHAnsi"/>
                <w:sz w:val="20"/>
                <w:szCs w:val="20"/>
              </w:rPr>
              <w:t xml:space="preserve">IT operations and </w:t>
            </w:r>
            <w:r w:rsidR="0076772B">
              <w:rPr>
                <w:rFonts w:asciiTheme="minorHAnsi" w:hAnsiTheme="minorHAnsi"/>
                <w:sz w:val="20"/>
                <w:szCs w:val="20"/>
              </w:rPr>
              <w:t xml:space="preserve">security </w:t>
            </w:r>
            <w:r>
              <w:rPr>
                <w:rFonts w:asciiTheme="minorHAnsi" w:hAnsiTheme="minorHAnsi"/>
                <w:sz w:val="20"/>
                <w:szCs w:val="20"/>
              </w:rPr>
              <w:t>environment</w:t>
            </w:r>
            <w:r w:rsidR="00E25A0F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5579AE54" w14:textId="77777777" w:rsidR="001423DA" w:rsidRDefault="000C4F5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provide education,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training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and awareness </w:t>
            </w:r>
            <w:r w:rsidR="00CC1FC8">
              <w:rPr>
                <w:rFonts w:asciiTheme="minorHAnsi" w:hAnsiTheme="minorHAnsi"/>
                <w:sz w:val="20"/>
                <w:szCs w:val="20"/>
              </w:rPr>
              <w:t>of shadow IT activity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3821C23B" w14:textId="418D0893" w:rsidR="005D63A3" w:rsidRDefault="005D63A3" w:rsidP="005D63A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</w:t>
            </w:r>
            <w:r w:rsidR="00CC1FC8">
              <w:rPr>
                <w:rFonts w:asciiTheme="minorHAnsi" w:hAnsiTheme="minorHAnsi"/>
                <w:sz w:val="20"/>
                <w:szCs w:val="20"/>
              </w:rPr>
              <w:t xml:space="preserve">ensure technology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disaster recovery capabilities </w:t>
            </w:r>
            <w:r w:rsidR="00CC1FC8">
              <w:rPr>
                <w:rFonts w:asciiTheme="minorHAnsi" w:hAnsiTheme="minorHAnsi"/>
                <w:sz w:val="20"/>
                <w:szCs w:val="20"/>
              </w:rPr>
              <w:t>will be initiated in a shadow IT attack, if needed</w:t>
            </w:r>
            <w:r w:rsidR="00D575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22512A0" w14:textId="30A8F9C5" w:rsidR="001423DA" w:rsidRDefault="000C4F5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IT department</w:t>
            </w:r>
            <w:r w:rsidR="00CC1FC8">
              <w:rPr>
                <w:rFonts w:asciiTheme="minorHAnsi" w:hAnsiTheme="minorHAnsi"/>
                <w:sz w:val="20"/>
                <w:szCs w:val="20"/>
              </w:rPr>
              <w:t xml:space="preserve">, in partnership with </w:t>
            </w:r>
            <w:r w:rsidR="00E25A0F">
              <w:rPr>
                <w:rFonts w:asciiTheme="minorHAnsi" w:hAnsiTheme="minorHAnsi"/>
                <w:sz w:val="20"/>
                <w:szCs w:val="20"/>
              </w:rPr>
              <w:t>HR</w:t>
            </w:r>
            <w:r w:rsidR="00CC1FC8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E25A0F">
              <w:rPr>
                <w:rFonts w:asciiTheme="minorHAnsi" w:hAnsiTheme="minorHAnsi"/>
                <w:sz w:val="20"/>
                <w:szCs w:val="20"/>
              </w:rPr>
              <w:t>l</w:t>
            </w:r>
            <w:r w:rsidR="00CC1FC8">
              <w:rPr>
                <w:rFonts w:asciiTheme="minorHAnsi" w:hAnsiTheme="minorHAnsi"/>
                <w:sz w:val="20"/>
                <w:szCs w:val="20"/>
              </w:rPr>
              <w:t>egal and other relevant departments,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will define consequences of </w:t>
            </w:r>
            <w:r w:rsidR="00CC1FC8">
              <w:rPr>
                <w:rFonts w:asciiTheme="minorHAnsi" w:hAnsiTheme="minorHAnsi"/>
                <w:sz w:val="20"/>
                <w:szCs w:val="20"/>
              </w:rPr>
              <w:t>identified and confirmed shadow IT activity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34838A6" w14:textId="77777777" w:rsidR="001423DA" w:rsidRDefault="000C4F55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IT department will define how </w:t>
            </w:r>
            <w:r w:rsidR="00CC1FC8">
              <w:rPr>
                <w:rFonts w:asciiTheme="minorHAnsi" w:hAnsiTheme="minorHAnsi"/>
                <w:sz w:val="20"/>
                <w:szCs w:val="20"/>
              </w:rPr>
              <w:t xml:space="preserve">shadow IT </w:t>
            </w:r>
            <w:r>
              <w:rPr>
                <w:rFonts w:asciiTheme="minorHAnsi" w:hAnsiTheme="minorHAnsi"/>
                <w:sz w:val="20"/>
                <w:szCs w:val="20"/>
              </w:rPr>
              <w:t>incidents are reported and managed.</w:t>
            </w:r>
          </w:p>
          <w:p w14:paraId="64B21ECF" w14:textId="5D82BD53" w:rsidR="001423DA" w:rsidRDefault="005D63A3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&lt;company name&gt; </w:t>
            </w:r>
            <w:r w:rsidR="000C4F55">
              <w:rPr>
                <w:rFonts w:asciiTheme="minorHAnsi" w:hAnsiTheme="minorHAnsi"/>
                <w:sz w:val="20"/>
                <w:szCs w:val="20"/>
              </w:rPr>
              <w:t xml:space="preserve">employees </w:t>
            </w:r>
            <w:r w:rsidR="00CC1FC8">
              <w:rPr>
                <w:rFonts w:asciiTheme="minorHAnsi" w:hAnsiTheme="minorHAnsi"/>
                <w:sz w:val="20"/>
                <w:szCs w:val="20"/>
              </w:rPr>
              <w:t xml:space="preserve">and approved contractors </w:t>
            </w:r>
            <w:r w:rsidR="000C4F55">
              <w:rPr>
                <w:rFonts w:asciiTheme="minorHAnsi" w:hAnsiTheme="minorHAnsi"/>
                <w:sz w:val="20"/>
                <w:szCs w:val="20"/>
              </w:rPr>
              <w:t xml:space="preserve">must sign </w:t>
            </w:r>
            <w:r w:rsidR="00CC1FC8">
              <w:rPr>
                <w:rFonts w:asciiTheme="minorHAnsi" w:hAnsiTheme="minorHAnsi"/>
                <w:sz w:val="20"/>
                <w:szCs w:val="20"/>
              </w:rPr>
              <w:t>an</w:t>
            </w:r>
            <w:r w:rsidR="000C4F5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C1FC8">
              <w:rPr>
                <w:rFonts w:asciiTheme="minorHAnsi" w:hAnsiTheme="minorHAnsi"/>
                <w:sz w:val="20"/>
                <w:szCs w:val="20"/>
              </w:rPr>
              <w:t xml:space="preserve">agreement </w:t>
            </w:r>
            <w:r w:rsidR="000C4F55">
              <w:rPr>
                <w:rFonts w:asciiTheme="minorHAnsi" w:hAnsiTheme="minorHAnsi"/>
                <w:sz w:val="20"/>
                <w:szCs w:val="20"/>
              </w:rPr>
              <w:t xml:space="preserve">to comply with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data </w:t>
            </w:r>
            <w:r w:rsidR="000C4F55">
              <w:rPr>
                <w:rFonts w:asciiTheme="minorHAnsi" w:hAnsiTheme="minorHAnsi"/>
                <w:sz w:val="20"/>
                <w:szCs w:val="20"/>
              </w:rPr>
              <w:t xml:space="preserve">security </w:t>
            </w:r>
            <w:r w:rsidR="00CC1FC8">
              <w:rPr>
                <w:rFonts w:asciiTheme="minorHAnsi" w:hAnsiTheme="minorHAnsi"/>
                <w:sz w:val="20"/>
                <w:szCs w:val="20"/>
              </w:rPr>
              <w:t xml:space="preserve">and operational security </w:t>
            </w:r>
            <w:r w:rsidR="000C4F55">
              <w:rPr>
                <w:rFonts w:asciiTheme="minorHAnsi" w:hAnsiTheme="minorHAnsi"/>
                <w:sz w:val="20"/>
                <w:szCs w:val="20"/>
              </w:rPr>
              <w:t>policies at the time they are hired and on a regular basis (</w:t>
            </w:r>
            <w:r w:rsidR="00E25A0F">
              <w:rPr>
                <w:rFonts w:asciiTheme="minorHAnsi" w:hAnsiTheme="minorHAnsi"/>
                <w:sz w:val="20"/>
                <w:szCs w:val="20"/>
              </w:rPr>
              <w:t>for example</w:t>
            </w:r>
            <w:r w:rsidR="000C4F55">
              <w:rPr>
                <w:rFonts w:asciiTheme="minorHAnsi" w:hAnsiTheme="minorHAnsi"/>
                <w:sz w:val="20"/>
                <w:szCs w:val="20"/>
              </w:rPr>
              <w:t>, annually)</w:t>
            </w:r>
            <w:r w:rsidR="00D575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054C843" w14:textId="2B219A48" w:rsidR="00CC1FC8" w:rsidRDefault="00CC1FC8" w:rsidP="00CC1FC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Shadow IT and related security policies and associated activities will comply with stated legislative,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regulatory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and contractual requirements</w:t>
            </w:r>
            <w:r w:rsidR="00D575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6F937CBE" w14:textId="43287866" w:rsidR="00CC1FC8" w:rsidRPr="00CC1FC8" w:rsidRDefault="00CC1FC8" w:rsidP="00CC1FC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IT department will document all activities relating to shadow IT for management and audit review</w:t>
            </w:r>
            <w:r w:rsidR="00D5753C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08256D07" w14:textId="77777777" w:rsidR="001423DA" w:rsidRDefault="001423DA">
            <w:pPr>
              <w:ind w:left="357"/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6C23B0A4" w14:textId="77777777">
        <w:tc>
          <w:tcPr>
            <w:tcW w:w="9576" w:type="dxa"/>
            <w:gridSpan w:val="2"/>
          </w:tcPr>
          <w:p w14:paraId="54145EBA" w14:textId="7BA61348" w:rsidR="001423DA" w:rsidRDefault="000C4F5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Style w:val="Strong"/>
                <w:sz w:val="20"/>
              </w:rPr>
              <w:lastRenderedPageBreak/>
              <w:t xml:space="preserve">Additional </w:t>
            </w:r>
            <w:r w:rsidR="00E25A0F">
              <w:rPr>
                <w:rStyle w:val="Strong"/>
                <w:sz w:val="20"/>
              </w:rPr>
              <w:t>p</w:t>
            </w:r>
            <w:r>
              <w:rPr>
                <w:rStyle w:val="Strong"/>
                <w:sz w:val="20"/>
              </w:rPr>
              <w:t xml:space="preserve">olicies </w:t>
            </w:r>
          </w:p>
          <w:p w14:paraId="2C82F43E" w14:textId="77777777" w:rsidR="001423DA" w:rsidRDefault="001423D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36E0ACDD" w14:textId="10233E5C" w:rsidR="001423DA" w:rsidRDefault="000C4F5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Additional policies that are part of </w:t>
            </w:r>
            <w:r w:rsidR="005D63A3">
              <w:rPr>
                <w:sz w:val="20"/>
              </w:rPr>
              <w:t>&lt;company name&gt;</w:t>
            </w:r>
            <w:r w:rsidR="002D2554">
              <w:rPr>
                <w:sz w:val="20"/>
              </w:rPr>
              <w:t>’</w:t>
            </w:r>
            <w:r>
              <w:rPr>
                <w:sz w:val="20"/>
              </w:rPr>
              <w:t xml:space="preserve">s overall </w:t>
            </w:r>
            <w:r w:rsidR="00CC1FC8">
              <w:rPr>
                <w:sz w:val="20"/>
              </w:rPr>
              <w:t xml:space="preserve">physical and logical </w:t>
            </w:r>
            <w:r>
              <w:rPr>
                <w:sz w:val="20"/>
              </w:rPr>
              <w:t>security polic</w:t>
            </w:r>
            <w:r w:rsidR="00CC1FC8">
              <w:rPr>
                <w:sz w:val="20"/>
              </w:rPr>
              <w:t>ies</w:t>
            </w:r>
            <w:r>
              <w:rPr>
                <w:sz w:val="20"/>
              </w:rPr>
              <w:t xml:space="preserve"> may include, at management</w:t>
            </w:r>
            <w:r w:rsidR="002D2554">
              <w:rPr>
                <w:sz w:val="20"/>
              </w:rPr>
              <w:t>’</w:t>
            </w:r>
            <w:r>
              <w:rPr>
                <w:sz w:val="20"/>
              </w:rPr>
              <w:t>s discretion, the following:</w:t>
            </w:r>
          </w:p>
          <w:p w14:paraId="645478EB" w14:textId="77777777" w:rsidR="001423DA" w:rsidRDefault="001423D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17AFB906" w14:textId="1D64E3FF" w:rsidR="001423DA" w:rsidRDefault="000C4F5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/>
                <w:sz w:val="20"/>
              </w:rPr>
              <w:t xml:space="preserve">Acceptable </w:t>
            </w:r>
            <w:r w:rsidR="00E25A0F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>se</w:t>
            </w:r>
            <w:r w:rsidR="00E25A0F" w:rsidRPr="00583635">
              <w:rPr>
                <w:b/>
                <w:bCs/>
                <w:sz w:val="20"/>
              </w:rPr>
              <w:t>.</w:t>
            </w:r>
            <w:r>
              <w:rPr>
                <w:sz w:val="20"/>
              </w:rPr>
              <w:t xml:space="preserve"> Describes the organizational permissions for the usage of IT and information-related resources</w:t>
            </w:r>
            <w:r w:rsidR="00E25A0F">
              <w:rPr>
                <w:sz w:val="20"/>
              </w:rPr>
              <w:t>.</w:t>
            </w:r>
          </w:p>
          <w:p w14:paraId="4B59D300" w14:textId="7238892F" w:rsidR="001423DA" w:rsidRDefault="000C4F5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/>
                <w:sz w:val="20"/>
              </w:rPr>
              <w:t>End-</w:t>
            </w:r>
            <w:r w:rsidR="00E25A0F">
              <w:rPr>
                <w:b/>
                <w:sz w:val="20"/>
              </w:rPr>
              <w:t>u</w:t>
            </w:r>
            <w:r>
              <w:rPr>
                <w:b/>
                <w:sz w:val="20"/>
              </w:rPr>
              <w:t xml:space="preserve">ser </w:t>
            </w:r>
            <w:r w:rsidR="00E25A0F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omputing</w:t>
            </w:r>
            <w:r w:rsidR="00E25A0F"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Describes the parameters and usage of desktop, mobile </w:t>
            </w:r>
            <w:proofErr w:type="gramStart"/>
            <w:r>
              <w:rPr>
                <w:sz w:val="20"/>
              </w:rPr>
              <w:t>computing</w:t>
            </w:r>
            <w:proofErr w:type="gramEnd"/>
            <w:r>
              <w:rPr>
                <w:sz w:val="20"/>
              </w:rPr>
              <w:t xml:space="preserve"> and other tools by </w:t>
            </w:r>
            <w:r w:rsidR="005D63A3">
              <w:rPr>
                <w:sz w:val="20"/>
              </w:rPr>
              <w:t xml:space="preserve">&lt;company name&gt; </w:t>
            </w:r>
            <w:r>
              <w:rPr>
                <w:sz w:val="20"/>
              </w:rPr>
              <w:t>employees</w:t>
            </w:r>
            <w:r w:rsidR="00E25A0F">
              <w:rPr>
                <w:sz w:val="20"/>
              </w:rPr>
              <w:t>.</w:t>
            </w:r>
          </w:p>
          <w:p w14:paraId="50008D34" w14:textId="75D52018" w:rsidR="001423DA" w:rsidRDefault="000C4F55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b/>
                <w:sz w:val="20"/>
              </w:rPr>
              <w:t xml:space="preserve">Access </w:t>
            </w:r>
            <w:r w:rsidR="00E25A0F"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>ontrol</w:t>
            </w:r>
            <w:r w:rsidR="00E25A0F">
              <w:rPr>
                <w:b/>
                <w:sz w:val="20"/>
              </w:rPr>
              <w:t>.</w:t>
            </w:r>
            <w:r>
              <w:rPr>
                <w:sz w:val="20"/>
              </w:rPr>
              <w:t xml:space="preserve"> Describes the method for defining and granting access to </w:t>
            </w:r>
            <w:r w:rsidR="005D63A3">
              <w:rPr>
                <w:sz w:val="20"/>
              </w:rPr>
              <w:t xml:space="preserve">data </w:t>
            </w:r>
            <w:r>
              <w:rPr>
                <w:sz w:val="20"/>
              </w:rPr>
              <w:t xml:space="preserve">resources to </w:t>
            </w:r>
            <w:r w:rsidR="005D63A3">
              <w:rPr>
                <w:sz w:val="20"/>
              </w:rPr>
              <w:t xml:space="preserve">&lt;company name&gt; </w:t>
            </w:r>
            <w:r>
              <w:rPr>
                <w:sz w:val="20"/>
              </w:rPr>
              <w:t>employees</w:t>
            </w:r>
            <w:r w:rsidR="00E25A0F">
              <w:rPr>
                <w:sz w:val="20"/>
              </w:rPr>
              <w:t>.</w:t>
            </w:r>
          </w:p>
          <w:p w14:paraId="4035D470" w14:textId="77777777" w:rsidR="001423DA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6AE7909E" w14:textId="77777777">
        <w:tc>
          <w:tcPr>
            <w:tcW w:w="9576" w:type="dxa"/>
            <w:gridSpan w:val="2"/>
          </w:tcPr>
          <w:p w14:paraId="303C6942" w14:textId="063CD014" w:rsidR="001423DA" w:rsidRDefault="000C4F5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Style w:val="Strong"/>
                <w:rFonts w:asciiTheme="minorHAnsi" w:hAnsiTheme="minorHAnsi"/>
                <w:sz w:val="20"/>
                <w:szCs w:val="22"/>
              </w:rPr>
              <w:t xml:space="preserve">Applicability of </w:t>
            </w:r>
            <w:r w:rsidR="00E25A0F">
              <w:rPr>
                <w:rStyle w:val="Strong"/>
                <w:rFonts w:asciiTheme="minorHAnsi" w:hAnsiTheme="minorHAnsi"/>
                <w:sz w:val="20"/>
                <w:szCs w:val="22"/>
              </w:rPr>
              <w:t>o</w:t>
            </w:r>
            <w:r>
              <w:rPr>
                <w:rStyle w:val="Strong"/>
                <w:rFonts w:asciiTheme="minorHAnsi" w:hAnsiTheme="minorHAnsi"/>
                <w:sz w:val="20"/>
                <w:szCs w:val="22"/>
              </w:rPr>
              <w:t xml:space="preserve">ther </w:t>
            </w:r>
            <w:r w:rsidR="00E25A0F">
              <w:rPr>
                <w:rStyle w:val="Strong"/>
                <w:rFonts w:asciiTheme="minorHAnsi" w:hAnsiTheme="minorHAnsi"/>
                <w:sz w:val="20"/>
                <w:szCs w:val="22"/>
              </w:rPr>
              <w:t>p</w:t>
            </w:r>
            <w:r>
              <w:rPr>
                <w:rStyle w:val="Strong"/>
                <w:rFonts w:asciiTheme="minorHAnsi" w:hAnsiTheme="minorHAnsi"/>
                <w:sz w:val="20"/>
                <w:szCs w:val="22"/>
              </w:rPr>
              <w:t>olicies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</w:rPr>
              <w:br/>
            </w:r>
          </w:p>
          <w:p w14:paraId="189ECF30" w14:textId="331C10D6" w:rsidR="001423DA" w:rsidRDefault="000C4F5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This document is part of </w:t>
            </w:r>
            <w:r w:rsidR="005D63A3">
              <w:rPr>
                <w:rFonts w:asciiTheme="minorHAnsi" w:hAnsiTheme="minorHAnsi"/>
                <w:sz w:val="20"/>
                <w:szCs w:val="22"/>
              </w:rPr>
              <w:t>&lt;company name&gt;</w:t>
            </w:r>
            <w:r w:rsidR="002D2554">
              <w:rPr>
                <w:rFonts w:asciiTheme="minorHAnsi" w:hAnsiTheme="minorHAnsi"/>
                <w:sz w:val="20"/>
                <w:szCs w:val="22"/>
              </w:rPr>
              <w:t>’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s suite of </w:t>
            </w:r>
            <w:r w:rsidR="00E25A0F">
              <w:rPr>
                <w:rFonts w:asciiTheme="minorHAnsi" w:hAnsiTheme="minorHAnsi"/>
                <w:sz w:val="20"/>
                <w:szCs w:val="22"/>
              </w:rPr>
              <w:t>IT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policies. Other policies may apply to the topics covered in this document</w:t>
            </w:r>
            <w:r w:rsidR="002D2554">
              <w:rPr>
                <w:rFonts w:asciiTheme="minorHAnsi" w:hAnsiTheme="minorHAnsi"/>
                <w:sz w:val="20"/>
                <w:szCs w:val="22"/>
              </w:rPr>
              <w:t>,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and as such</w:t>
            </w:r>
            <w:r w:rsidR="002D2554">
              <w:rPr>
                <w:rFonts w:asciiTheme="minorHAnsi" w:hAnsiTheme="minorHAnsi"/>
                <w:sz w:val="20"/>
                <w:szCs w:val="22"/>
              </w:rPr>
              <w:t>,</w:t>
            </w:r>
            <w:r>
              <w:rPr>
                <w:rFonts w:asciiTheme="minorHAnsi" w:hAnsiTheme="minorHAnsi"/>
                <w:sz w:val="20"/>
                <w:szCs w:val="22"/>
              </w:rPr>
              <w:t xml:space="preserve"> the applicable policies should be reviewed as needed.</w:t>
            </w:r>
          </w:p>
          <w:p w14:paraId="1F7F1F7C" w14:textId="77777777" w:rsidR="001423DA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7D04EE2D" w14:textId="77777777">
        <w:tc>
          <w:tcPr>
            <w:tcW w:w="9576" w:type="dxa"/>
            <w:gridSpan w:val="2"/>
          </w:tcPr>
          <w:p w14:paraId="50A3DC8F" w14:textId="77777777" w:rsidR="001423DA" w:rsidRDefault="000C4F5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Style w:val="Strong"/>
                <w:rFonts w:asciiTheme="minorHAnsi" w:hAnsiTheme="minorHAnsi"/>
                <w:sz w:val="20"/>
                <w:szCs w:val="22"/>
              </w:rPr>
              <w:t xml:space="preserve">Enforcement </w:t>
            </w:r>
            <w:r>
              <w:rPr>
                <w:rFonts w:asciiTheme="minorHAnsi" w:hAnsiTheme="minorHAnsi"/>
                <w:b/>
                <w:bCs/>
                <w:sz w:val="20"/>
                <w:szCs w:val="22"/>
              </w:rPr>
              <w:br/>
            </w:r>
          </w:p>
          <w:p w14:paraId="395127CD" w14:textId="3B371082" w:rsidR="001423DA" w:rsidRDefault="000C4F5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Theme="minorHAnsi" w:hAnsiTheme="minorHAnsi"/>
                <w:sz w:val="20"/>
                <w:szCs w:val="22"/>
              </w:rPr>
              <w:t xml:space="preserve">This policy will be enforced by the </w:t>
            </w:r>
            <w:r w:rsidR="00E25A0F">
              <w:rPr>
                <w:rFonts w:asciiTheme="minorHAnsi" w:hAnsiTheme="minorHAnsi"/>
                <w:sz w:val="20"/>
                <w:szCs w:val="22"/>
              </w:rPr>
              <w:t>IT d</w:t>
            </w:r>
            <w:r>
              <w:rPr>
                <w:rFonts w:asciiTheme="minorHAnsi" w:hAnsiTheme="minorHAnsi"/>
                <w:sz w:val="20"/>
                <w:szCs w:val="22"/>
              </w:rPr>
              <w:t>epartment</w:t>
            </w:r>
            <w:r w:rsidR="005D63A3">
              <w:rPr>
                <w:rFonts w:asciiTheme="minorHAnsi" w:hAnsiTheme="minorHAnsi"/>
                <w:sz w:val="20"/>
                <w:szCs w:val="22"/>
              </w:rPr>
              <w:t xml:space="preserve"> in partnership with the </w:t>
            </w:r>
            <w:r w:rsidR="00E25A0F">
              <w:rPr>
                <w:rFonts w:asciiTheme="minorHAnsi" w:hAnsiTheme="minorHAnsi"/>
                <w:sz w:val="20"/>
                <w:szCs w:val="22"/>
              </w:rPr>
              <w:t>HR</w:t>
            </w:r>
            <w:r w:rsidR="005D63A3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="00CC1FC8">
              <w:rPr>
                <w:rFonts w:asciiTheme="minorHAnsi" w:hAnsiTheme="minorHAnsi"/>
                <w:sz w:val="20"/>
                <w:szCs w:val="22"/>
              </w:rPr>
              <w:t xml:space="preserve">and </w:t>
            </w:r>
            <w:r w:rsidR="00E25A0F">
              <w:rPr>
                <w:rFonts w:asciiTheme="minorHAnsi" w:hAnsiTheme="minorHAnsi"/>
                <w:sz w:val="20"/>
                <w:szCs w:val="22"/>
              </w:rPr>
              <w:t>l</w:t>
            </w:r>
            <w:r w:rsidR="00CC1FC8">
              <w:rPr>
                <w:rFonts w:asciiTheme="minorHAnsi" w:hAnsiTheme="minorHAnsi"/>
                <w:sz w:val="20"/>
                <w:szCs w:val="22"/>
              </w:rPr>
              <w:t xml:space="preserve">egal </w:t>
            </w:r>
            <w:r w:rsidR="00E25A0F">
              <w:rPr>
                <w:rFonts w:asciiTheme="minorHAnsi" w:hAnsiTheme="minorHAnsi"/>
                <w:sz w:val="20"/>
                <w:szCs w:val="22"/>
              </w:rPr>
              <w:t>d</w:t>
            </w:r>
            <w:r w:rsidR="005D63A3">
              <w:rPr>
                <w:rFonts w:asciiTheme="minorHAnsi" w:hAnsiTheme="minorHAnsi"/>
                <w:sz w:val="20"/>
                <w:szCs w:val="22"/>
              </w:rPr>
              <w:t>epartment</w:t>
            </w:r>
            <w:r w:rsidR="00CC1FC8">
              <w:rPr>
                <w:rFonts w:asciiTheme="minorHAnsi" w:hAnsiTheme="minorHAnsi"/>
                <w:sz w:val="20"/>
                <w:szCs w:val="22"/>
              </w:rPr>
              <w:t>s</w:t>
            </w:r>
            <w:r>
              <w:rPr>
                <w:rFonts w:asciiTheme="minorHAnsi" w:hAnsiTheme="minorHAnsi"/>
                <w:sz w:val="20"/>
                <w:szCs w:val="22"/>
              </w:rPr>
              <w:t>.</w:t>
            </w:r>
          </w:p>
          <w:p w14:paraId="738629F7" w14:textId="77777777" w:rsidR="001423DA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0D4C914B" w14:textId="77777777">
        <w:tc>
          <w:tcPr>
            <w:tcW w:w="9576" w:type="dxa"/>
            <w:gridSpan w:val="2"/>
          </w:tcPr>
          <w:p w14:paraId="41322185" w14:textId="54A36F70" w:rsidR="001423DA" w:rsidRDefault="000C4F55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 xml:space="preserve">Management </w:t>
            </w:r>
            <w:r w:rsidR="005D63A3">
              <w:rPr>
                <w:rFonts w:cs="Times New Roman"/>
                <w:b/>
                <w:sz w:val="20"/>
                <w:szCs w:val="20"/>
              </w:rPr>
              <w:t xml:space="preserve">and </w:t>
            </w:r>
            <w:r w:rsidR="00E25A0F">
              <w:rPr>
                <w:rFonts w:cs="Times New Roman"/>
                <w:b/>
                <w:sz w:val="20"/>
                <w:szCs w:val="20"/>
              </w:rPr>
              <w:t>a</w:t>
            </w:r>
            <w:r w:rsidR="005D63A3">
              <w:rPr>
                <w:rFonts w:cs="Times New Roman"/>
                <w:b/>
                <w:sz w:val="20"/>
                <w:szCs w:val="20"/>
              </w:rPr>
              <w:t xml:space="preserve">udit </w:t>
            </w:r>
            <w:r w:rsidR="00E25A0F">
              <w:rPr>
                <w:rFonts w:cs="Times New Roman"/>
                <w:b/>
                <w:sz w:val="20"/>
                <w:szCs w:val="20"/>
              </w:rPr>
              <w:t>r</w:t>
            </w:r>
            <w:r>
              <w:rPr>
                <w:rFonts w:cs="Times New Roman"/>
                <w:b/>
                <w:sz w:val="20"/>
                <w:szCs w:val="20"/>
              </w:rPr>
              <w:t>eview</w:t>
            </w:r>
          </w:p>
          <w:p w14:paraId="3B3CB7D2" w14:textId="77777777" w:rsidR="001423DA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364B83A" w14:textId="05F54FFD" w:rsidR="001423DA" w:rsidRDefault="000C4F5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IT management will review and update IT policies on a quarterly basis at </w:t>
            </w:r>
            <w:r w:rsidR="005D63A3">
              <w:rPr>
                <w:rFonts w:cs="Times New Roman"/>
                <w:sz w:val="20"/>
                <w:szCs w:val="20"/>
              </w:rPr>
              <w:t>&lt;company name&gt;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E25A0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As changes to IT policies are indicated </w:t>
            </w:r>
            <w:proofErr w:type="gramStart"/>
            <w:r>
              <w:rPr>
                <w:rFonts w:cs="Times New Roman"/>
                <w:sz w:val="20"/>
                <w:szCs w:val="20"/>
              </w:rPr>
              <w:t>in the course of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business, IT management may launch a change management initiative to change the policies.</w:t>
            </w:r>
            <w:r w:rsidR="00E25A0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All </w:t>
            </w:r>
            <w:r w:rsidR="005D63A3">
              <w:rPr>
                <w:rFonts w:cs="Times New Roman"/>
                <w:sz w:val="20"/>
                <w:szCs w:val="20"/>
              </w:rPr>
              <w:t>&lt;company name&gt;</w:t>
            </w:r>
            <w:r>
              <w:rPr>
                <w:rFonts w:cs="Times New Roman"/>
                <w:sz w:val="20"/>
                <w:szCs w:val="20"/>
              </w:rPr>
              <w:t xml:space="preserve"> IT policies will be available for review </w:t>
            </w:r>
            <w:proofErr w:type="gramStart"/>
            <w:r>
              <w:rPr>
                <w:rFonts w:cs="Times New Roman"/>
                <w:sz w:val="20"/>
                <w:szCs w:val="20"/>
              </w:rPr>
              <w:t>in the course of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scheduled IT audits.</w:t>
            </w:r>
          </w:p>
          <w:p w14:paraId="69FC40BD" w14:textId="77777777" w:rsidR="001423DA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1423DA" w14:paraId="277D55B1" w14:textId="77777777">
        <w:tc>
          <w:tcPr>
            <w:tcW w:w="9576" w:type="dxa"/>
            <w:gridSpan w:val="2"/>
          </w:tcPr>
          <w:p w14:paraId="4D6E9CAC" w14:textId="77777777" w:rsidR="001423DA" w:rsidRDefault="001423D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0E4D2DA9" w14:textId="77777777" w:rsidR="001423DA" w:rsidRDefault="001423DA"/>
    <w:sectPr w:rsidR="001423DA" w:rsidSect="0078437A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Frutiger45Ligh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30C5"/>
    <w:multiLevelType w:val="hybridMultilevel"/>
    <w:tmpl w:val="4FAC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5EC5"/>
    <w:multiLevelType w:val="hybridMultilevel"/>
    <w:tmpl w:val="78CA4B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A31B6"/>
    <w:multiLevelType w:val="hybridMultilevel"/>
    <w:tmpl w:val="ADDA2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844B2"/>
    <w:multiLevelType w:val="hybridMultilevel"/>
    <w:tmpl w:val="3AC63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1109B"/>
    <w:multiLevelType w:val="hybridMultilevel"/>
    <w:tmpl w:val="84D457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95B99"/>
    <w:multiLevelType w:val="hybridMultilevel"/>
    <w:tmpl w:val="8AC63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76436"/>
    <w:multiLevelType w:val="hybridMultilevel"/>
    <w:tmpl w:val="70DE6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BFB"/>
    <w:multiLevelType w:val="hybridMultilevel"/>
    <w:tmpl w:val="8FA42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87B0A"/>
    <w:multiLevelType w:val="hybridMultilevel"/>
    <w:tmpl w:val="124A1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E78A7"/>
    <w:multiLevelType w:val="hybridMultilevel"/>
    <w:tmpl w:val="AEB00610"/>
    <w:lvl w:ilvl="0" w:tplc="8E26AB8C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56D88"/>
    <w:multiLevelType w:val="hybridMultilevel"/>
    <w:tmpl w:val="B2F27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E6D57"/>
    <w:multiLevelType w:val="hybridMultilevel"/>
    <w:tmpl w:val="DED2B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77678"/>
    <w:multiLevelType w:val="hybridMultilevel"/>
    <w:tmpl w:val="3968B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E59F4"/>
    <w:multiLevelType w:val="hybridMultilevel"/>
    <w:tmpl w:val="9320A8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02C3C"/>
    <w:multiLevelType w:val="hybridMultilevel"/>
    <w:tmpl w:val="8C7A9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2C2594"/>
    <w:multiLevelType w:val="hybridMultilevel"/>
    <w:tmpl w:val="8D8A6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E1E98"/>
    <w:multiLevelType w:val="hybridMultilevel"/>
    <w:tmpl w:val="0A1400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3D6F24"/>
    <w:multiLevelType w:val="hybridMultilevel"/>
    <w:tmpl w:val="56B8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271EB"/>
    <w:multiLevelType w:val="hybridMultilevel"/>
    <w:tmpl w:val="AC886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731C09"/>
    <w:multiLevelType w:val="hybridMultilevel"/>
    <w:tmpl w:val="3CCA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92F34"/>
    <w:multiLevelType w:val="hybridMultilevel"/>
    <w:tmpl w:val="3C84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37C5C"/>
    <w:multiLevelType w:val="hybridMultilevel"/>
    <w:tmpl w:val="547E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C13B3"/>
    <w:multiLevelType w:val="hybridMultilevel"/>
    <w:tmpl w:val="B1463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6A2A49"/>
    <w:multiLevelType w:val="hybridMultilevel"/>
    <w:tmpl w:val="FD10E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860288">
    <w:abstractNumId w:val="7"/>
  </w:num>
  <w:num w:numId="2" w16cid:durableId="70079682">
    <w:abstractNumId w:val="0"/>
  </w:num>
  <w:num w:numId="3" w16cid:durableId="1408504363">
    <w:abstractNumId w:val="9"/>
  </w:num>
  <w:num w:numId="4" w16cid:durableId="1842308781">
    <w:abstractNumId w:val="23"/>
  </w:num>
  <w:num w:numId="5" w16cid:durableId="1647466005">
    <w:abstractNumId w:val="16"/>
  </w:num>
  <w:num w:numId="6" w16cid:durableId="833103380">
    <w:abstractNumId w:val="20"/>
  </w:num>
  <w:num w:numId="7" w16cid:durableId="722364742">
    <w:abstractNumId w:val="1"/>
  </w:num>
  <w:num w:numId="8" w16cid:durableId="358550210">
    <w:abstractNumId w:val="5"/>
  </w:num>
  <w:num w:numId="9" w16cid:durableId="456339131">
    <w:abstractNumId w:val="13"/>
  </w:num>
  <w:num w:numId="10" w16cid:durableId="1878465622">
    <w:abstractNumId w:val="11"/>
  </w:num>
  <w:num w:numId="11" w16cid:durableId="302926707">
    <w:abstractNumId w:val="18"/>
  </w:num>
  <w:num w:numId="12" w16cid:durableId="1379084175">
    <w:abstractNumId w:val="4"/>
  </w:num>
  <w:num w:numId="13" w16cid:durableId="1488670125">
    <w:abstractNumId w:val="22"/>
  </w:num>
  <w:num w:numId="14" w16cid:durableId="2007900303">
    <w:abstractNumId w:val="6"/>
  </w:num>
  <w:num w:numId="15" w16cid:durableId="1194924475">
    <w:abstractNumId w:val="12"/>
  </w:num>
  <w:num w:numId="16" w16cid:durableId="1227032929">
    <w:abstractNumId w:val="8"/>
  </w:num>
  <w:num w:numId="17" w16cid:durableId="1811093808">
    <w:abstractNumId w:val="3"/>
  </w:num>
  <w:num w:numId="18" w16cid:durableId="664209942">
    <w:abstractNumId w:val="15"/>
  </w:num>
  <w:num w:numId="19" w16cid:durableId="990329791">
    <w:abstractNumId w:val="19"/>
  </w:num>
  <w:num w:numId="20" w16cid:durableId="1715419957">
    <w:abstractNumId w:val="21"/>
  </w:num>
  <w:num w:numId="21" w16cid:durableId="11299966">
    <w:abstractNumId w:val="17"/>
  </w:num>
  <w:num w:numId="22" w16cid:durableId="341123931">
    <w:abstractNumId w:val="10"/>
  </w:num>
  <w:num w:numId="23" w16cid:durableId="1543904327">
    <w:abstractNumId w:val="2"/>
  </w:num>
  <w:num w:numId="24" w16cid:durableId="15104145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3DA"/>
    <w:rsid w:val="000C4F55"/>
    <w:rsid w:val="001423DA"/>
    <w:rsid w:val="00181BA8"/>
    <w:rsid w:val="001D354C"/>
    <w:rsid w:val="00266319"/>
    <w:rsid w:val="00292F02"/>
    <w:rsid w:val="002A214F"/>
    <w:rsid w:val="002D2554"/>
    <w:rsid w:val="002E18C2"/>
    <w:rsid w:val="00485543"/>
    <w:rsid w:val="004D5D93"/>
    <w:rsid w:val="00527FAC"/>
    <w:rsid w:val="00583635"/>
    <w:rsid w:val="00587AA7"/>
    <w:rsid w:val="005D63A3"/>
    <w:rsid w:val="0076772B"/>
    <w:rsid w:val="0078437A"/>
    <w:rsid w:val="00810167"/>
    <w:rsid w:val="00A02400"/>
    <w:rsid w:val="00C41C05"/>
    <w:rsid w:val="00CC1FC8"/>
    <w:rsid w:val="00CC753F"/>
    <w:rsid w:val="00D5753C"/>
    <w:rsid w:val="00DB1192"/>
    <w:rsid w:val="00E2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CBA91"/>
  <w15:docId w15:val="{BDD685CA-4B2B-2C47-B69A-3B97D2B8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Revision">
    <w:name w:val="Revision"/>
    <w:hidden/>
    <w:uiPriority w:val="99"/>
    <w:semiHidden/>
    <w:rsid w:val="005836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DD18-FBF0-42F5-9CF8-F78E1BEB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Kirvan</dc:creator>
  <cp:lastModifiedBy>Koury, Linda</cp:lastModifiedBy>
  <cp:revision>14</cp:revision>
  <dcterms:created xsi:type="dcterms:W3CDTF">2022-10-13T12:16:00Z</dcterms:created>
  <dcterms:modified xsi:type="dcterms:W3CDTF">2022-11-03T16:33:00Z</dcterms:modified>
</cp:coreProperties>
</file>