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CD1D" w14:textId="1552255B" w:rsidR="001423DA" w:rsidRDefault="00140B3C">
      <w:pPr>
        <w:spacing w:after="0" w:line="240" w:lineRule="auto"/>
        <w:rPr>
          <w:sz w:val="20"/>
        </w:rPr>
      </w:pPr>
      <w:r>
        <w:rPr>
          <w:noProof/>
          <w:sz w:val="20"/>
        </w:rPr>
        <w:drawing>
          <wp:inline distT="0" distB="0" distL="0" distR="0" wp14:anchorId="47102831" wp14:editId="6B6BBEC1">
            <wp:extent cx="2081349" cy="404291"/>
            <wp:effectExtent l="0" t="0" r="1905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86" cy="44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CC69" w14:textId="77777777" w:rsidR="00140B3C" w:rsidRDefault="00140B3C">
      <w:pPr>
        <w:spacing w:after="0" w:line="240" w:lineRule="auto"/>
        <w:rPr>
          <w:sz w:val="20"/>
        </w:rPr>
      </w:pPr>
    </w:p>
    <w:p w14:paraId="0AB7451D" w14:textId="77777777" w:rsidR="00140B3C" w:rsidRDefault="00140B3C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1423DA" w14:paraId="27EE8341" w14:textId="77777777" w:rsidTr="00F709F6">
        <w:tc>
          <w:tcPr>
            <w:tcW w:w="9350" w:type="dxa"/>
            <w:gridSpan w:val="2"/>
          </w:tcPr>
          <w:p w14:paraId="6A5DB4D0" w14:textId="2B870D67" w:rsidR="001423DA" w:rsidRDefault="000C4F55" w:rsidP="00CC753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Title: </w:t>
            </w:r>
            <w:r w:rsidR="00CC753F" w:rsidRPr="00CC753F">
              <w:rPr>
                <w:rFonts w:cs="Times New Roman"/>
                <w:sz w:val="20"/>
                <w:szCs w:val="20"/>
              </w:rPr>
              <w:t>Data</w:t>
            </w:r>
            <w:r w:rsidR="00CC753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1D64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ecurity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1D64" w:rsidRPr="00581D64">
              <w:rPr>
                <w:rFonts w:cs="Times New Roman"/>
                <w:bCs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 xml:space="preserve">olicy </w:t>
            </w:r>
          </w:p>
        </w:tc>
      </w:tr>
      <w:tr w:rsidR="001423DA" w14:paraId="05EAD892" w14:textId="77777777" w:rsidTr="00F709F6">
        <w:tc>
          <w:tcPr>
            <w:tcW w:w="4678" w:type="dxa"/>
          </w:tcPr>
          <w:p w14:paraId="042E197A" w14:textId="77777777" w:rsidR="001423DA" w:rsidRDefault="000C4F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Department:</w:t>
            </w:r>
            <w:r>
              <w:rPr>
                <w:rFonts w:cs="Times New Roman"/>
                <w:sz w:val="20"/>
                <w:szCs w:val="20"/>
              </w:rPr>
              <w:t xml:space="preserve"> IT</w:t>
            </w:r>
          </w:p>
        </w:tc>
        <w:tc>
          <w:tcPr>
            <w:tcW w:w="4672" w:type="dxa"/>
          </w:tcPr>
          <w:p w14:paraId="77940E05" w14:textId="77777777" w:rsidR="001423DA" w:rsidRDefault="000C4F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Version:</w:t>
            </w:r>
            <w:r>
              <w:rPr>
                <w:rFonts w:cs="Times New Roman"/>
                <w:sz w:val="20"/>
                <w:szCs w:val="20"/>
              </w:rPr>
              <w:t xml:space="preserve"> Original</w:t>
            </w:r>
          </w:p>
        </w:tc>
      </w:tr>
      <w:tr w:rsidR="001423DA" w14:paraId="6B7F627B" w14:textId="77777777" w:rsidTr="00F709F6">
        <w:tc>
          <w:tcPr>
            <w:tcW w:w="4678" w:type="dxa"/>
          </w:tcPr>
          <w:p w14:paraId="1D830B2B" w14:textId="77777777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Approved by:</w:t>
            </w:r>
          </w:p>
        </w:tc>
        <w:tc>
          <w:tcPr>
            <w:tcW w:w="4672" w:type="dxa"/>
          </w:tcPr>
          <w:p w14:paraId="475037F4" w14:textId="5D361667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Approval </w:t>
            </w:r>
            <w:r w:rsidR="00BF731B">
              <w:rPr>
                <w:rFonts w:cs="Times New Roman"/>
                <w:b/>
                <w:sz w:val="20"/>
                <w:szCs w:val="20"/>
              </w:rPr>
              <w:t>d</w:t>
            </w:r>
            <w:r>
              <w:rPr>
                <w:rFonts w:cs="Times New Roman"/>
                <w:b/>
                <w:sz w:val="20"/>
                <w:szCs w:val="20"/>
              </w:rPr>
              <w:t xml:space="preserve">ate: </w:t>
            </w:r>
          </w:p>
        </w:tc>
      </w:tr>
      <w:tr w:rsidR="001423DA" w14:paraId="2D8B7DF9" w14:textId="77777777" w:rsidTr="00F709F6">
        <w:tc>
          <w:tcPr>
            <w:tcW w:w="9350" w:type="dxa"/>
            <w:gridSpan w:val="2"/>
          </w:tcPr>
          <w:p w14:paraId="10F1F688" w14:textId="2FF9945D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Senior </w:t>
            </w:r>
            <w:r w:rsidR="00BF731B">
              <w:rPr>
                <w:rFonts w:cs="Times New Roman"/>
                <w:b/>
                <w:sz w:val="20"/>
                <w:szCs w:val="20"/>
              </w:rPr>
              <w:t>m</w:t>
            </w:r>
            <w:r>
              <w:rPr>
                <w:rFonts w:cs="Times New Roman"/>
                <w:b/>
                <w:sz w:val="20"/>
                <w:szCs w:val="20"/>
              </w:rPr>
              <w:t xml:space="preserve">anagement </w:t>
            </w:r>
            <w:r w:rsidR="00BF731B">
              <w:rPr>
                <w:rFonts w:cs="Times New Roman"/>
                <w:b/>
                <w:sz w:val="20"/>
                <w:szCs w:val="20"/>
              </w:rPr>
              <w:t>a</w:t>
            </w:r>
            <w:r>
              <w:rPr>
                <w:rFonts w:cs="Times New Roman"/>
                <w:b/>
                <w:sz w:val="20"/>
                <w:szCs w:val="20"/>
              </w:rPr>
              <w:t>pproval:</w:t>
            </w:r>
          </w:p>
        </w:tc>
      </w:tr>
      <w:tr w:rsidR="001423DA" w14:paraId="5C0B6806" w14:textId="77777777" w:rsidTr="00F709F6">
        <w:tc>
          <w:tcPr>
            <w:tcW w:w="4678" w:type="dxa"/>
          </w:tcPr>
          <w:p w14:paraId="5B6C86A2" w14:textId="14BD8563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Effective </w:t>
            </w:r>
            <w:r w:rsidR="00BF731B">
              <w:rPr>
                <w:rFonts w:cs="Times New Roman"/>
                <w:b/>
                <w:sz w:val="20"/>
                <w:szCs w:val="20"/>
              </w:rPr>
              <w:t>d</w:t>
            </w:r>
            <w:r>
              <w:rPr>
                <w:rFonts w:cs="Times New Roman"/>
                <w:b/>
                <w:sz w:val="20"/>
                <w:szCs w:val="20"/>
              </w:rPr>
              <w:t>ate:</w:t>
            </w:r>
          </w:p>
        </w:tc>
        <w:tc>
          <w:tcPr>
            <w:tcW w:w="4672" w:type="dxa"/>
          </w:tcPr>
          <w:p w14:paraId="6D75D223" w14:textId="45B2D306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Last </w:t>
            </w:r>
            <w:r w:rsidR="00BF731B">
              <w:rPr>
                <w:rFonts w:cs="Times New Roman"/>
                <w:b/>
                <w:sz w:val="20"/>
                <w:szCs w:val="20"/>
              </w:rPr>
              <w:t>u</w:t>
            </w:r>
            <w:r>
              <w:rPr>
                <w:rFonts w:cs="Times New Roman"/>
                <w:b/>
                <w:sz w:val="20"/>
                <w:szCs w:val="20"/>
              </w:rPr>
              <w:t>pdated:</w:t>
            </w:r>
          </w:p>
        </w:tc>
      </w:tr>
      <w:tr w:rsidR="001423DA" w14:paraId="428DF662" w14:textId="77777777" w:rsidTr="00F709F6">
        <w:tc>
          <w:tcPr>
            <w:tcW w:w="9350" w:type="dxa"/>
            <w:gridSpan w:val="2"/>
          </w:tcPr>
          <w:p w14:paraId="3CA289D1" w14:textId="77777777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Author:</w:t>
            </w:r>
          </w:p>
        </w:tc>
      </w:tr>
      <w:tr w:rsidR="001423DA" w14:paraId="56C16471" w14:textId="77777777" w:rsidTr="00F709F6">
        <w:tc>
          <w:tcPr>
            <w:tcW w:w="9350" w:type="dxa"/>
            <w:gridSpan w:val="2"/>
          </w:tcPr>
          <w:p w14:paraId="26E45091" w14:textId="3AD4F7FA" w:rsidR="001423DA" w:rsidRPr="004670F5" w:rsidRDefault="0055017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Purpose</w:t>
            </w:r>
          </w:p>
          <w:p w14:paraId="0F38CF7D" w14:textId="7950975B" w:rsidR="0055017A" w:rsidRDefault="0055017A" w:rsidP="0055017A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 confidentiality, integrity and availability of all &lt;company name</w:t>
            </w:r>
            <w:r w:rsidR="00581D64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s&gt; data, databases and other information resources are to be managed by a formal information and data security program. This program will provide a controlled and orderly method by which access to &lt;company name&gt; data is requested and granted</w:t>
            </w:r>
            <w:r w:rsidR="005231E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security of data is monitored and analyzed</w:t>
            </w:r>
            <w:r w:rsidR="005231E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violations of data security are addressed and mitigated</w:t>
            </w:r>
            <w:r w:rsidR="005231E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and changes to data security systems and procedures are requested, tested, approved and communicated for audit and recordkeeping purposes.</w:t>
            </w:r>
          </w:p>
          <w:p w14:paraId="5DB3D363" w14:textId="77777777" w:rsidR="001423DA" w:rsidRPr="004670F5" w:rsidRDefault="001423DA" w:rsidP="004855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017A" w14:paraId="6CBB4B3B" w14:textId="77777777" w:rsidTr="00F709F6">
        <w:tc>
          <w:tcPr>
            <w:tcW w:w="9350" w:type="dxa"/>
            <w:gridSpan w:val="2"/>
          </w:tcPr>
          <w:p w14:paraId="356B88B0" w14:textId="77777777" w:rsidR="0055017A" w:rsidRPr="004670F5" w:rsidRDefault="0055017A" w:rsidP="0055017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670F5">
              <w:rPr>
                <w:rFonts w:cs="Times New Roman"/>
                <w:b/>
                <w:sz w:val="20"/>
                <w:szCs w:val="20"/>
              </w:rPr>
              <w:t>Scope</w:t>
            </w:r>
          </w:p>
          <w:p w14:paraId="796789A5" w14:textId="77777777" w:rsidR="0055017A" w:rsidRPr="004670F5" w:rsidRDefault="0055017A" w:rsidP="0055017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670F5">
              <w:rPr>
                <w:rFonts w:cs="Times New Roman"/>
                <w:sz w:val="20"/>
                <w:szCs w:val="20"/>
              </w:rPr>
              <w:t>This policy applies to all data and information activities that occur within &lt;company name&gt; and the data security activities that must be performed to protect data and information.</w:t>
            </w:r>
          </w:p>
          <w:p w14:paraId="148FD3C1" w14:textId="77777777" w:rsidR="0055017A" w:rsidRPr="004670F5" w:rsidRDefault="0055017A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23DA" w14:paraId="63BACE62" w14:textId="77777777" w:rsidTr="00F709F6">
        <w:tc>
          <w:tcPr>
            <w:tcW w:w="9350" w:type="dxa"/>
            <w:gridSpan w:val="2"/>
          </w:tcPr>
          <w:p w14:paraId="607912B7" w14:textId="76260A15" w:rsidR="001423DA" w:rsidRPr="004670F5" w:rsidRDefault="000C4F55" w:rsidP="00F709F6">
            <w:pPr>
              <w:rPr>
                <w:rFonts w:cs="ArialMT"/>
                <w:sz w:val="20"/>
                <w:szCs w:val="20"/>
              </w:rPr>
            </w:pPr>
            <w:r w:rsidRPr="004670F5">
              <w:rPr>
                <w:rFonts w:cs="Times New Roman"/>
                <w:b/>
                <w:sz w:val="20"/>
                <w:szCs w:val="20"/>
              </w:rPr>
              <w:t>R</w:t>
            </w:r>
            <w:r w:rsidR="0055017A">
              <w:rPr>
                <w:rFonts w:cs="Times New Roman"/>
                <w:b/>
                <w:sz w:val="20"/>
                <w:szCs w:val="20"/>
              </w:rPr>
              <w:t>oles and r</w:t>
            </w:r>
            <w:r w:rsidRPr="004670F5">
              <w:rPr>
                <w:rFonts w:cs="Times New Roman"/>
                <w:b/>
                <w:sz w:val="20"/>
                <w:szCs w:val="20"/>
              </w:rPr>
              <w:t>esponsibilit</w:t>
            </w:r>
            <w:r w:rsidR="0055017A">
              <w:rPr>
                <w:rFonts w:cs="Times New Roman"/>
                <w:b/>
                <w:sz w:val="20"/>
                <w:szCs w:val="20"/>
              </w:rPr>
              <w:t>ies</w:t>
            </w:r>
          </w:p>
          <w:p w14:paraId="1FCFE288" w14:textId="23CB6829" w:rsidR="001423DA" w:rsidRPr="004670F5" w:rsidRDefault="000C4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F5">
              <w:rPr>
                <w:rFonts w:cs="ArialMT"/>
                <w:sz w:val="20"/>
                <w:szCs w:val="20"/>
              </w:rPr>
              <w:t xml:space="preserve">The IT </w:t>
            </w:r>
            <w:r w:rsidR="007B31FF">
              <w:rPr>
                <w:rFonts w:cs="ArialMT"/>
                <w:sz w:val="20"/>
                <w:szCs w:val="20"/>
              </w:rPr>
              <w:t>d</w:t>
            </w:r>
            <w:r w:rsidRPr="004670F5">
              <w:rPr>
                <w:rFonts w:cs="ArialMT"/>
                <w:sz w:val="20"/>
                <w:szCs w:val="20"/>
              </w:rPr>
              <w:t xml:space="preserve">epartment of </w:t>
            </w:r>
            <w:r w:rsidR="00485543" w:rsidRPr="004670F5">
              <w:rPr>
                <w:rFonts w:cs="ArialMT"/>
                <w:sz w:val="20"/>
                <w:szCs w:val="20"/>
              </w:rPr>
              <w:t xml:space="preserve">&lt;company name&gt; </w:t>
            </w:r>
            <w:r w:rsidRPr="004670F5">
              <w:rPr>
                <w:rFonts w:cs="ArialMT"/>
                <w:sz w:val="20"/>
                <w:szCs w:val="20"/>
              </w:rPr>
              <w:t xml:space="preserve">is responsible for </w:t>
            </w:r>
            <w:r w:rsidRPr="004670F5">
              <w:rPr>
                <w:sz w:val="20"/>
                <w:szCs w:val="20"/>
              </w:rPr>
              <w:t>managing, upgrading and maintaining the elements and components of the company</w:t>
            </w:r>
            <w:r w:rsidR="00581D64">
              <w:rPr>
                <w:sz w:val="20"/>
                <w:szCs w:val="20"/>
              </w:rPr>
              <w:t>'</w:t>
            </w:r>
            <w:r w:rsidRPr="004670F5">
              <w:rPr>
                <w:sz w:val="20"/>
                <w:szCs w:val="20"/>
              </w:rPr>
              <w:t>s computing environment</w:t>
            </w:r>
            <w:r w:rsidR="005231EA">
              <w:rPr>
                <w:sz w:val="20"/>
                <w:szCs w:val="20"/>
              </w:rPr>
              <w:t>,</w:t>
            </w:r>
            <w:r w:rsidRPr="004670F5">
              <w:rPr>
                <w:sz w:val="20"/>
                <w:szCs w:val="20"/>
              </w:rPr>
              <w:t xml:space="preserve"> including, but not limited to, all hardware, systems, </w:t>
            </w:r>
            <w:r w:rsidR="00485543" w:rsidRPr="004670F5">
              <w:rPr>
                <w:sz w:val="20"/>
                <w:szCs w:val="20"/>
              </w:rPr>
              <w:t xml:space="preserve">data, databases, </w:t>
            </w:r>
            <w:r w:rsidRPr="004670F5">
              <w:rPr>
                <w:sz w:val="20"/>
                <w:szCs w:val="20"/>
              </w:rPr>
              <w:t>associated peripheral devices</w:t>
            </w:r>
            <w:r w:rsidR="004670F5" w:rsidRPr="004670F5">
              <w:rPr>
                <w:sz w:val="20"/>
                <w:szCs w:val="20"/>
              </w:rPr>
              <w:t>,</w:t>
            </w:r>
            <w:r w:rsidRPr="004670F5">
              <w:rPr>
                <w:sz w:val="20"/>
                <w:szCs w:val="20"/>
              </w:rPr>
              <w:t xml:space="preserve"> and primary and secondary software applications.</w:t>
            </w:r>
          </w:p>
          <w:p w14:paraId="05322C0A" w14:textId="77777777" w:rsidR="001423DA" w:rsidRPr="004670F5" w:rsidRDefault="001423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D02AAF" w14:textId="4D67A82A" w:rsidR="001423DA" w:rsidRDefault="000C4F55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4670F5">
              <w:rPr>
                <w:sz w:val="20"/>
                <w:szCs w:val="20"/>
              </w:rPr>
              <w:t xml:space="preserve">The IT </w:t>
            </w:r>
            <w:r w:rsidR="007B31FF">
              <w:rPr>
                <w:sz w:val="20"/>
                <w:szCs w:val="20"/>
              </w:rPr>
              <w:t>d</w:t>
            </w:r>
            <w:r w:rsidRPr="004670F5">
              <w:rPr>
                <w:sz w:val="20"/>
                <w:szCs w:val="20"/>
              </w:rPr>
              <w:t xml:space="preserve">epartment is also responsible for </w:t>
            </w:r>
            <w:r w:rsidRPr="004670F5">
              <w:rPr>
                <w:rFonts w:cs="ArialMT"/>
                <w:sz w:val="20"/>
                <w:szCs w:val="20"/>
              </w:rPr>
              <w:t xml:space="preserve">maintaining and updating this policy with the approval of the </w:t>
            </w:r>
            <w:r w:rsidR="00485543" w:rsidRPr="004670F5">
              <w:rPr>
                <w:rFonts w:cs="ArialMT"/>
                <w:sz w:val="20"/>
                <w:szCs w:val="20"/>
              </w:rPr>
              <w:t>&lt;enter title&gt; and</w:t>
            </w:r>
            <w:r w:rsidRPr="004670F5">
              <w:rPr>
                <w:rFonts w:cs="ArialMT"/>
                <w:sz w:val="20"/>
                <w:szCs w:val="20"/>
              </w:rPr>
              <w:t xml:space="preserve"> </w:t>
            </w:r>
            <w:r w:rsidR="00485543" w:rsidRPr="004670F5">
              <w:rPr>
                <w:rFonts w:cs="ArialMT"/>
                <w:sz w:val="20"/>
                <w:szCs w:val="20"/>
              </w:rPr>
              <w:t>&lt;enter title&gt;.</w:t>
            </w:r>
          </w:p>
          <w:p w14:paraId="3A36FCA2" w14:textId="77777777" w:rsidR="0055017A" w:rsidRDefault="0055017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  <w:p w14:paraId="3EE2C982" w14:textId="1696C452" w:rsidR="0055017A" w:rsidRDefault="0055017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Other roles and responsibilities include</w:t>
            </w:r>
            <w:r w:rsidR="00685838">
              <w:rPr>
                <w:rFonts w:cs="ArialMT"/>
                <w:sz w:val="20"/>
                <w:szCs w:val="20"/>
              </w:rPr>
              <w:t xml:space="preserve"> the </w:t>
            </w:r>
            <w:r w:rsidR="006141EE">
              <w:rPr>
                <w:rFonts w:cs="ArialMT"/>
                <w:sz w:val="20"/>
                <w:szCs w:val="20"/>
              </w:rPr>
              <w:t>following</w:t>
            </w:r>
            <w:r w:rsidR="00685838">
              <w:rPr>
                <w:rFonts w:cs="ArialMT"/>
                <w:sz w:val="20"/>
                <w:szCs w:val="20"/>
              </w:rPr>
              <w:t>:</w:t>
            </w:r>
          </w:p>
          <w:p w14:paraId="2EAC43FA" w14:textId="65C7B8AB" w:rsidR="00685838" w:rsidRDefault="00685838" w:rsidP="0068583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Data owners are those who primarily maintain the information.</w:t>
            </w:r>
          </w:p>
          <w:p w14:paraId="2FE90F27" w14:textId="66E27BBA" w:rsidR="00685838" w:rsidRDefault="00685838" w:rsidP="0068583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Users include those with access to data, such as employees</w:t>
            </w:r>
            <w:r w:rsidR="006141EE">
              <w:rPr>
                <w:rFonts w:cs="ArialMT"/>
                <w:sz w:val="20"/>
                <w:szCs w:val="20"/>
              </w:rPr>
              <w:t>,</w:t>
            </w:r>
            <w:r>
              <w:rPr>
                <w:rFonts w:cs="ArialMT"/>
                <w:sz w:val="20"/>
                <w:szCs w:val="20"/>
              </w:rPr>
              <w:t xml:space="preserve"> contractors, consultants </w:t>
            </w:r>
            <w:r w:rsidR="006141EE">
              <w:rPr>
                <w:rFonts w:cs="ArialMT"/>
                <w:sz w:val="20"/>
                <w:szCs w:val="20"/>
              </w:rPr>
              <w:t>a</w:t>
            </w:r>
            <w:r>
              <w:rPr>
                <w:rFonts w:cs="ArialMT"/>
                <w:sz w:val="20"/>
                <w:szCs w:val="20"/>
              </w:rPr>
              <w:t>nd third parties.</w:t>
            </w:r>
          </w:p>
          <w:p w14:paraId="29EC0EAF" w14:textId="0E3FB899" w:rsidR="00685838" w:rsidRPr="00581D64" w:rsidRDefault="00685838" w:rsidP="00581D6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Incident response team is a group </w:t>
            </w:r>
            <w:r w:rsidR="006141EE">
              <w:rPr>
                <w:rFonts w:cs="ArialMT"/>
                <w:sz w:val="20"/>
                <w:szCs w:val="20"/>
              </w:rPr>
              <w:t xml:space="preserve">of </w:t>
            </w:r>
            <w:r>
              <w:rPr>
                <w:rFonts w:cs="ArialMT"/>
                <w:sz w:val="20"/>
                <w:szCs w:val="20"/>
              </w:rPr>
              <w:t xml:space="preserve">IT professionals who develop, test and update the incident response </w:t>
            </w:r>
            <w:r w:rsidR="006141EE">
              <w:rPr>
                <w:rFonts w:cs="ArialMT"/>
                <w:sz w:val="20"/>
                <w:szCs w:val="20"/>
              </w:rPr>
              <w:t>plan</w:t>
            </w:r>
            <w:r>
              <w:rPr>
                <w:rFonts w:cs="ArialMT"/>
                <w:sz w:val="20"/>
                <w:szCs w:val="20"/>
              </w:rPr>
              <w:t xml:space="preserve">. This could include incident responders, analysts, threat </w:t>
            </w:r>
            <w:r w:rsidR="006141EE">
              <w:rPr>
                <w:rFonts w:cs="ArialMT"/>
                <w:sz w:val="20"/>
                <w:szCs w:val="20"/>
              </w:rPr>
              <w:t>researchers</w:t>
            </w:r>
            <w:r>
              <w:rPr>
                <w:rFonts w:cs="ArialMT"/>
                <w:sz w:val="20"/>
                <w:szCs w:val="20"/>
              </w:rPr>
              <w:t>, executives, legal and HR team members.</w:t>
            </w:r>
          </w:p>
          <w:p w14:paraId="7D027E78" w14:textId="77777777" w:rsidR="001423DA" w:rsidRPr="004670F5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65FACE62" w14:textId="77777777" w:rsidTr="00F709F6">
        <w:tc>
          <w:tcPr>
            <w:tcW w:w="9350" w:type="dxa"/>
            <w:gridSpan w:val="2"/>
          </w:tcPr>
          <w:p w14:paraId="75F6AF8B" w14:textId="318C167C" w:rsidR="001423DA" w:rsidRPr="004670F5" w:rsidRDefault="000C4F55">
            <w:pPr>
              <w:rPr>
                <w:sz w:val="20"/>
                <w:szCs w:val="20"/>
              </w:rPr>
            </w:pPr>
            <w:r w:rsidRPr="004670F5">
              <w:rPr>
                <w:rFonts w:cs="Times New Roman"/>
                <w:b/>
                <w:sz w:val="20"/>
                <w:szCs w:val="20"/>
              </w:rPr>
              <w:t>Objectives</w:t>
            </w:r>
          </w:p>
          <w:p w14:paraId="13B9708B" w14:textId="3F311917" w:rsidR="001423DA" w:rsidRPr="004670F5" w:rsidRDefault="000C4F55">
            <w:pPr>
              <w:rPr>
                <w:rFonts w:cs="Frutiger45Light"/>
                <w:sz w:val="20"/>
                <w:szCs w:val="20"/>
                <w:lang w:bidi="th-TH"/>
              </w:rPr>
            </w:pPr>
            <w:r w:rsidRPr="004670F5">
              <w:rPr>
                <w:sz w:val="20"/>
                <w:szCs w:val="20"/>
              </w:rPr>
              <w:t xml:space="preserve">The objective of this policy is </w:t>
            </w:r>
            <w:r w:rsidRPr="004670F5">
              <w:rPr>
                <w:rFonts w:cs="Frutiger45Light"/>
                <w:sz w:val="20"/>
                <w:szCs w:val="20"/>
                <w:lang w:bidi="th-TH"/>
              </w:rPr>
              <w:t>to ensure</w:t>
            </w:r>
            <w:r w:rsidR="0047673F" w:rsidRPr="004670F5">
              <w:rPr>
                <w:rFonts w:cs="Frutiger45Light"/>
                <w:sz w:val="20"/>
                <w:szCs w:val="20"/>
                <w:lang w:bidi="th-TH"/>
              </w:rPr>
              <w:t xml:space="preserve"> the security and protection of </w:t>
            </w:r>
            <w:r w:rsidR="00485543" w:rsidRPr="004670F5">
              <w:rPr>
                <w:rFonts w:cs="Frutiger45Light"/>
                <w:sz w:val="20"/>
                <w:szCs w:val="20"/>
                <w:lang w:bidi="th-TH"/>
              </w:rPr>
              <w:t xml:space="preserve">data, databases and other data resources used </w:t>
            </w:r>
            <w:r w:rsidR="0047673F" w:rsidRPr="004670F5">
              <w:rPr>
                <w:rFonts w:cs="Frutiger45Light"/>
                <w:sz w:val="20"/>
                <w:szCs w:val="20"/>
                <w:lang w:bidi="th-TH"/>
              </w:rPr>
              <w:t xml:space="preserve">by the </w:t>
            </w:r>
            <w:r w:rsidR="00BF731B" w:rsidRPr="004670F5">
              <w:rPr>
                <w:rFonts w:cs="Frutiger45Light"/>
                <w:sz w:val="20"/>
                <w:szCs w:val="20"/>
                <w:lang w:bidi="th-TH"/>
              </w:rPr>
              <w:t>c</w:t>
            </w:r>
            <w:r w:rsidR="00485543" w:rsidRPr="004670F5">
              <w:rPr>
                <w:rFonts w:cs="Frutiger45Light"/>
                <w:sz w:val="20"/>
                <w:szCs w:val="20"/>
                <w:lang w:bidi="th-TH"/>
              </w:rPr>
              <w:t xml:space="preserve">ompany. This includes establishing and maintaining the </w:t>
            </w:r>
            <w:r w:rsidRPr="004670F5">
              <w:rPr>
                <w:rFonts w:cs="Frutiger45Light"/>
                <w:sz w:val="20"/>
                <w:szCs w:val="20"/>
                <w:lang w:bidi="th-TH"/>
              </w:rPr>
              <w:t xml:space="preserve">confidentiality, integrity and availability of </w:t>
            </w:r>
            <w:r w:rsidR="00485543" w:rsidRPr="004670F5">
              <w:rPr>
                <w:rFonts w:cs="Frutiger45Light"/>
                <w:sz w:val="20"/>
                <w:szCs w:val="20"/>
                <w:lang w:bidi="th-TH"/>
              </w:rPr>
              <w:t xml:space="preserve">data </w:t>
            </w:r>
            <w:r w:rsidRPr="004670F5">
              <w:rPr>
                <w:rFonts w:cs="Frutiger45Light"/>
                <w:sz w:val="20"/>
                <w:szCs w:val="20"/>
                <w:lang w:bidi="th-TH"/>
              </w:rPr>
              <w:t xml:space="preserve">needed by </w:t>
            </w:r>
            <w:r w:rsidR="00485543" w:rsidRPr="004670F5">
              <w:rPr>
                <w:rFonts w:cs="Frutiger45Light"/>
                <w:sz w:val="20"/>
                <w:szCs w:val="20"/>
                <w:lang w:bidi="th-TH"/>
              </w:rPr>
              <w:t>&lt;company</w:t>
            </w:r>
            <w:r w:rsidR="004670F5" w:rsidRPr="004670F5">
              <w:rPr>
                <w:rFonts w:cs="Frutiger45Light"/>
                <w:sz w:val="20"/>
                <w:szCs w:val="20"/>
                <w:lang w:bidi="th-TH"/>
              </w:rPr>
              <w:t xml:space="preserve"> name</w:t>
            </w:r>
            <w:r w:rsidR="00485543" w:rsidRPr="004670F5">
              <w:rPr>
                <w:rFonts w:cs="Frutiger45Light"/>
                <w:sz w:val="20"/>
                <w:szCs w:val="20"/>
                <w:lang w:bidi="th-TH"/>
              </w:rPr>
              <w:t xml:space="preserve">&gt; </w:t>
            </w:r>
            <w:r w:rsidRPr="004670F5">
              <w:rPr>
                <w:rFonts w:cs="Frutiger45Light"/>
                <w:sz w:val="20"/>
                <w:szCs w:val="20"/>
                <w:lang w:bidi="th-TH"/>
              </w:rPr>
              <w:t>to conduct its business.</w:t>
            </w:r>
          </w:p>
          <w:p w14:paraId="4C1F4083" w14:textId="77777777" w:rsidR="001423DA" w:rsidRPr="004670F5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1E22B52E" w14:textId="77777777" w:rsidTr="00F709F6">
        <w:tc>
          <w:tcPr>
            <w:tcW w:w="9350" w:type="dxa"/>
            <w:gridSpan w:val="2"/>
          </w:tcPr>
          <w:p w14:paraId="7CBA9293" w14:textId="7CAA0CFF" w:rsidR="001423DA" w:rsidRPr="004670F5" w:rsidRDefault="000C4F55">
            <w:pPr>
              <w:rPr>
                <w:rFonts w:cs="Times New Roman"/>
                <w:sz w:val="20"/>
                <w:szCs w:val="20"/>
              </w:rPr>
            </w:pPr>
            <w:r w:rsidRPr="004670F5">
              <w:rPr>
                <w:rFonts w:cs="Times New Roman"/>
                <w:b/>
                <w:sz w:val="20"/>
                <w:szCs w:val="20"/>
              </w:rPr>
              <w:t xml:space="preserve">Strategy and </w:t>
            </w:r>
            <w:r w:rsidR="00BF731B" w:rsidRPr="004670F5">
              <w:rPr>
                <w:rFonts w:cs="Times New Roman"/>
                <w:b/>
                <w:sz w:val="20"/>
                <w:szCs w:val="20"/>
              </w:rPr>
              <w:t>f</w:t>
            </w:r>
            <w:r w:rsidRPr="004670F5">
              <w:rPr>
                <w:rFonts w:cs="Times New Roman"/>
                <w:b/>
                <w:sz w:val="20"/>
                <w:szCs w:val="20"/>
              </w:rPr>
              <w:t>ocus</w:t>
            </w:r>
          </w:p>
          <w:p w14:paraId="1C96180D" w14:textId="47CB2A8B" w:rsidR="001423DA" w:rsidRPr="004670F5" w:rsidRDefault="004855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F5">
              <w:rPr>
                <w:sz w:val="20"/>
                <w:szCs w:val="20"/>
              </w:rPr>
              <w:t>&lt;Company name&gt;</w:t>
            </w:r>
            <w:r w:rsidR="00581D64">
              <w:rPr>
                <w:sz w:val="20"/>
                <w:szCs w:val="20"/>
              </w:rPr>
              <w:t>'</w:t>
            </w:r>
            <w:r w:rsidR="000C4F55" w:rsidRPr="004670F5">
              <w:rPr>
                <w:sz w:val="20"/>
                <w:szCs w:val="20"/>
              </w:rPr>
              <w:t xml:space="preserve">s primary strategy for IT </w:t>
            </w:r>
            <w:r w:rsidRPr="004670F5">
              <w:rPr>
                <w:sz w:val="20"/>
                <w:szCs w:val="20"/>
              </w:rPr>
              <w:t xml:space="preserve">data </w:t>
            </w:r>
            <w:r w:rsidR="000C4F55" w:rsidRPr="004670F5">
              <w:rPr>
                <w:sz w:val="20"/>
                <w:szCs w:val="20"/>
              </w:rPr>
              <w:t xml:space="preserve">security is to ensure </w:t>
            </w:r>
            <w:r w:rsidRPr="004670F5">
              <w:rPr>
                <w:sz w:val="20"/>
                <w:szCs w:val="20"/>
              </w:rPr>
              <w:t>&lt;co</w:t>
            </w:r>
            <w:r w:rsidR="00810167" w:rsidRPr="004670F5">
              <w:rPr>
                <w:sz w:val="20"/>
                <w:szCs w:val="20"/>
              </w:rPr>
              <w:t>m</w:t>
            </w:r>
            <w:r w:rsidRPr="004670F5">
              <w:rPr>
                <w:sz w:val="20"/>
                <w:szCs w:val="20"/>
              </w:rPr>
              <w:t>pa</w:t>
            </w:r>
            <w:r w:rsidR="00810167" w:rsidRPr="004670F5">
              <w:rPr>
                <w:sz w:val="20"/>
                <w:szCs w:val="20"/>
              </w:rPr>
              <w:t>n</w:t>
            </w:r>
            <w:r w:rsidRPr="004670F5">
              <w:rPr>
                <w:sz w:val="20"/>
                <w:szCs w:val="20"/>
              </w:rPr>
              <w:t>y name&gt;</w:t>
            </w:r>
            <w:r w:rsidR="00581D64">
              <w:rPr>
                <w:sz w:val="20"/>
                <w:szCs w:val="20"/>
              </w:rPr>
              <w:t>'</w:t>
            </w:r>
            <w:r w:rsidR="000C4F55" w:rsidRPr="004670F5">
              <w:rPr>
                <w:sz w:val="20"/>
                <w:szCs w:val="20"/>
              </w:rPr>
              <w:t xml:space="preserve">s </w:t>
            </w:r>
            <w:r w:rsidRPr="004670F5">
              <w:rPr>
                <w:sz w:val="20"/>
                <w:szCs w:val="20"/>
              </w:rPr>
              <w:t xml:space="preserve">data resources are </w:t>
            </w:r>
            <w:r w:rsidR="000C4F55" w:rsidRPr="004670F5">
              <w:rPr>
                <w:sz w:val="20"/>
                <w:szCs w:val="20"/>
              </w:rPr>
              <w:t>secure</w:t>
            </w:r>
            <w:r w:rsidR="00744E94">
              <w:rPr>
                <w:sz w:val="20"/>
                <w:szCs w:val="20"/>
              </w:rPr>
              <w:t>;</w:t>
            </w:r>
            <w:r w:rsidR="000C4F55" w:rsidRPr="004670F5">
              <w:rPr>
                <w:sz w:val="20"/>
                <w:szCs w:val="20"/>
              </w:rPr>
              <w:t xml:space="preserve"> ha</w:t>
            </w:r>
            <w:r w:rsidRPr="004670F5">
              <w:rPr>
                <w:sz w:val="20"/>
                <w:szCs w:val="20"/>
              </w:rPr>
              <w:t>ve</w:t>
            </w:r>
            <w:r w:rsidR="000C4F55" w:rsidRPr="004670F5">
              <w:rPr>
                <w:sz w:val="20"/>
                <w:szCs w:val="20"/>
              </w:rPr>
              <w:t xml:space="preserve"> appropriate access controls</w:t>
            </w:r>
            <w:r w:rsidR="00744E94">
              <w:rPr>
                <w:sz w:val="20"/>
                <w:szCs w:val="20"/>
              </w:rPr>
              <w:t>;</w:t>
            </w:r>
            <w:r w:rsidR="000C4F55" w:rsidRPr="004670F5">
              <w:rPr>
                <w:sz w:val="20"/>
                <w:szCs w:val="20"/>
              </w:rPr>
              <w:t xml:space="preserve"> ha</w:t>
            </w:r>
            <w:r w:rsidRPr="004670F5">
              <w:rPr>
                <w:sz w:val="20"/>
                <w:szCs w:val="20"/>
              </w:rPr>
              <w:t>ve</w:t>
            </w:r>
            <w:r w:rsidR="000C4F55" w:rsidRPr="004670F5">
              <w:rPr>
                <w:sz w:val="20"/>
                <w:szCs w:val="20"/>
              </w:rPr>
              <w:t xml:space="preserve"> procedures to identify and prevent unauthorized access to </w:t>
            </w:r>
            <w:r w:rsidRPr="004670F5">
              <w:rPr>
                <w:sz w:val="20"/>
                <w:szCs w:val="20"/>
              </w:rPr>
              <w:t xml:space="preserve">&lt;company name&gt; </w:t>
            </w:r>
            <w:r w:rsidR="000C4F55" w:rsidRPr="004670F5">
              <w:rPr>
                <w:sz w:val="20"/>
                <w:szCs w:val="20"/>
              </w:rPr>
              <w:t>data</w:t>
            </w:r>
            <w:r w:rsidRPr="004670F5">
              <w:rPr>
                <w:sz w:val="20"/>
                <w:szCs w:val="20"/>
              </w:rPr>
              <w:t xml:space="preserve"> and databases</w:t>
            </w:r>
            <w:r w:rsidR="000C4F55" w:rsidRPr="004670F5">
              <w:rPr>
                <w:sz w:val="20"/>
                <w:szCs w:val="20"/>
              </w:rPr>
              <w:t xml:space="preserve">, </w:t>
            </w:r>
            <w:r w:rsidR="00810167" w:rsidRPr="004670F5">
              <w:rPr>
                <w:sz w:val="20"/>
                <w:szCs w:val="20"/>
              </w:rPr>
              <w:t>whether locally accessed or stored in managed services, such as cloud storage</w:t>
            </w:r>
            <w:r w:rsidR="00744E94">
              <w:rPr>
                <w:sz w:val="20"/>
                <w:szCs w:val="20"/>
              </w:rPr>
              <w:t>;</w:t>
            </w:r>
            <w:r w:rsidR="00810167" w:rsidRPr="004670F5">
              <w:rPr>
                <w:sz w:val="20"/>
                <w:szCs w:val="20"/>
              </w:rPr>
              <w:t xml:space="preserve"> </w:t>
            </w:r>
            <w:r w:rsidR="000C4F55" w:rsidRPr="004670F5">
              <w:rPr>
                <w:sz w:val="20"/>
                <w:szCs w:val="20"/>
              </w:rPr>
              <w:t xml:space="preserve">and </w:t>
            </w:r>
            <w:r w:rsidR="00F81CA6" w:rsidRPr="004670F5">
              <w:rPr>
                <w:sz w:val="20"/>
                <w:szCs w:val="20"/>
              </w:rPr>
              <w:t xml:space="preserve">are </w:t>
            </w:r>
            <w:r w:rsidR="000C4F55" w:rsidRPr="004670F5">
              <w:rPr>
                <w:sz w:val="20"/>
                <w:szCs w:val="20"/>
              </w:rPr>
              <w:t>aligned with the principles as stated in</w:t>
            </w:r>
            <w:r w:rsidR="0047673F" w:rsidRPr="004670F5">
              <w:rPr>
                <w:sz w:val="20"/>
                <w:szCs w:val="20"/>
              </w:rPr>
              <w:t xml:space="preserve"> the standards</w:t>
            </w:r>
            <w:r w:rsidR="00B9635F" w:rsidRPr="004670F5">
              <w:rPr>
                <w:sz w:val="20"/>
                <w:szCs w:val="20"/>
              </w:rPr>
              <w:t xml:space="preserve"> </w:t>
            </w:r>
            <w:r w:rsidR="000C4F55" w:rsidRPr="004670F5">
              <w:rPr>
                <w:sz w:val="20"/>
                <w:szCs w:val="20"/>
              </w:rPr>
              <w:t>ISO/IEC 27001</w:t>
            </w:r>
            <w:r w:rsidR="00B9635F" w:rsidRPr="004670F5">
              <w:rPr>
                <w:sz w:val="20"/>
                <w:szCs w:val="20"/>
              </w:rPr>
              <w:t>,</w:t>
            </w:r>
            <w:r w:rsidR="000C4F55" w:rsidRPr="004670F5">
              <w:rPr>
                <w:sz w:val="20"/>
                <w:szCs w:val="20"/>
              </w:rPr>
              <w:t xml:space="preserve"> ISO/IEC 27002</w:t>
            </w:r>
            <w:r w:rsidR="00B9635F" w:rsidRPr="004670F5">
              <w:rPr>
                <w:sz w:val="20"/>
                <w:szCs w:val="20"/>
              </w:rPr>
              <w:t xml:space="preserve">, </w:t>
            </w:r>
            <w:r w:rsidR="005D63A3" w:rsidRPr="004670F5">
              <w:rPr>
                <w:sz w:val="20"/>
                <w:szCs w:val="20"/>
              </w:rPr>
              <w:t>NIST SP</w:t>
            </w:r>
            <w:r w:rsidR="00B9635F" w:rsidRPr="004670F5">
              <w:rPr>
                <w:sz w:val="20"/>
                <w:szCs w:val="20"/>
              </w:rPr>
              <w:t xml:space="preserve"> </w:t>
            </w:r>
            <w:r w:rsidR="005D63A3" w:rsidRPr="004670F5">
              <w:rPr>
                <w:sz w:val="20"/>
                <w:szCs w:val="20"/>
              </w:rPr>
              <w:t>800-53, FISMA and HIPAA</w:t>
            </w:r>
            <w:r w:rsidR="000C4F55" w:rsidRPr="004670F5">
              <w:rPr>
                <w:sz w:val="20"/>
                <w:szCs w:val="20"/>
              </w:rPr>
              <w:t>.</w:t>
            </w:r>
          </w:p>
          <w:p w14:paraId="45256DEF" w14:textId="77777777" w:rsidR="001423DA" w:rsidRPr="004670F5" w:rsidRDefault="001423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7F7410A" w14:textId="0048379D" w:rsidR="001423DA" w:rsidRPr="004670F5" w:rsidRDefault="000C4F55">
            <w:pPr>
              <w:autoSpaceDE w:val="0"/>
              <w:autoSpaceDN w:val="0"/>
              <w:adjustRightInd w:val="0"/>
              <w:rPr>
                <w:rFonts w:cs="Frutiger45Light"/>
                <w:sz w:val="20"/>
                <w:szCs w:val="20"/>
                <w:lang w:bidi="th-TH"/>
              </w:rPr>
            </w:pPr>
            <w:r w:rsidRPr="004670F5">
              <w:rPr>
                <w:sz w:val="20"/>
                <w:szCs w:val="20"/>
              </w:rPr>
              <w:t xml:space="preserve">This policy addresses all IT </w:t>
            </w:r>
            <w:r w:rsidR="00485543" w:rsidRPr="004670F5">
              <w:rPr>
                <w:sz w:val="20"/>
                <w:szCs w:val="20"/>
              </w:rPr>
              <w:t xml:space="preserve">data security activities </w:t>
            </w:r>
            <w:r w:rsidRPr="004670F5">
              <w:rPr>
                <w:sz w:val="20"/>
                <w:szCs w:val="20"/>
              </w:rPr>
              <w:t xml:space="preserve">at </w:t>
            </w:r>
            <w:r w:rsidR="00485543" w:rsidRPr="004670F5">
              <w:rPr>
                <w:sz w:val="20"/>
                <w:szCs w:val="20"/>
              </w:rPr>
              <w:t>&lt;company name&gt;</w:t>
            </w:r>
            <w:r w:rsidRPr="004670F5">
              <w:rPr>
                <w:sz w:val="20"/>
                <w:szCs w:val="20"/>
              </w:rPr>
              <w:t xml:space="preserve">, including </w:t>
            </w:r>
            <w:r w:rsidR="00485543" w:rsidRPr="004670F5">
              <w:rPr>
                <w:sz w:val="20"/>
                <w:szCs w:val="20"/>
              </w:rPr>
              <w:t xml:space="preserve">data files, databases and all electronic data elements </w:t>
            </w:r>
            <w:r w:rsidRPr="004670F5">
              <w:rPr>
                <w:sz w:val="20"/>
                <w:szCs w:val="20"/>
              </w:rPr>
              <w:t>within the IT computing environment.</w:t>
            </w:r>
          </w:p>
          <w:p w14:paraId="738706F4" w14:textId="77777777" w:rsidR="001423DA" w:rsidRPr="004670F5" w:rsidRDefault="001423D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28945984" w14:textId="77777777" w:rsidTr="00F709F6">
        <w:tc>
          <w:tcPr>
            <w:tcW w:w="9350" w:type="dxa"/>
            <w:gridSpan w:val="2"/>
          </w:tcPr>
          <w:p w14:paraId="2FB44051" w14:textId="71745DF2" w:rsidR="001423DA" w:rsidRDefault="000C4F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Policy</w:t>
            </w:r>
          </w:p>
          <w:p w14:paraId="6C071ED8" w14:textId="77777777" w:rsidR="001423DA" w:rsidRDefault="001423DA">
            <w:pPr>
              <w:rPr>
                <w:rFonts w:cs="Frutiger45Light"/>
                <w:sz w:val="20"/>
                <w:szCs w:val="20"/>
                <w:lang w:bidi="th-TH"/>
              </w:rPr>
            </w:pPr>
          </w:p>
          <w:p w14:paraId="68373AC7" w14:textId="2B649136" w:rsidR="001423DA" w:rsidRDefault="000C4F55">
            <w:pPr>
              <w:autoSpaceDE w:val="0"/>
              <w:autoSpaceDN w:val="0"/>
              <w:adjustRightInd w:val="0"/>
              <w:rPr>
                <w:rFonts w:cs="Frutiger45Light"/>
                <w:sz w:val="20"/>
                <w:szCs w:val="20"/>
                <w:lang w:bidi="th-TH"/>
              </w:rPr>
            </w:pPr>
            <w:r>
              <w:rPr>
                <w:rFonts w:cs="Frutiger45Light"/>
                <w:sz w:val="20"/>
                <w:szCs w:val="20"/>
                <w:lang w:bidi="th-TH"/>
              </w:rPr>
              <w:t xml:space="preserve">The following are required </w:t>
            </w:r>
            <w:r w:rsidR="0076772B">
              <w:rPr>
                <w:rFonts w:cs="Frutiger45Light"/>
                <w:sz w:val="20"/>
                <w:szCs w:val="20"/>
                <w:lang w:bidi="th-TH"/>
              </w:rPr>
              <w:t xml:space="preserve">data </w:t>
            </w:r>
            <w:r>
              <w:rPr>
                <w:rFonts w:cs="Frutiger45Light"/>
                <w:sz w:val="20"/>
                <w:szCs w:val="20"/>
                <w:lang w:bidi="th-TH"/>
              </w:rPr>
              <w:t>security processes:</w:t>
            </w:r>
          </w:p>
          <w:p w14:paraId="29D6DD4E" w14:textId="77777777" w:rsidR="001423DA" w:rsidRDefault="001423DA">
            <w:pPr>
              <w:autoSpaceDE w:val="0"/>
              <w:autoSpaceDN w:val="0"/>
              <w:adjustRightInd w:val="0"/>
              <w:rPr>
                <w:rFonts w:cs="Frutiger45Light"/>
                <w:sz w:val="20"/>
                <w:szCs w:val="20"/>
                <w:lang w:bidi="th-TH"/>
              </w:rPr>
            </w:pPr>
          </w:p>
          <w:p w14:paraId="1D5511CA" w14:textId="582BF3A1" w:rsidR="00AF57D5" w:rsidRDefault="000C4F55" w:rsidP="009F32B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define </w:t>
            </w:r>
            <w:r w:rsidR="0076772B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/>
                <w:sz w:val="20"/>
                <w:szCs w:val="20"/>
              </w:rPr>
              <w:t>security processes and procedures</w:t>
            </w:r>
            <w:r w:rsidR="007B31FF">
              <w:rPr>
                <w:rFonts w:asciiTheme="minorHAnsi" w:hAnsiTheme="minorHAnsi"/>
                <w:sz w:val="20"/>
                <w:szCs w:val="20"/>
              </w:rPr>
              <w:t>, as well 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secure and </w:t>
            </w:r>
            <w:r w:rsidR="004670F5">
              <w:rPr>
                <w:rFonts w:asciiTheme="minorHAnsi" w:hAnsiTheme="minorHAnsi"/>
                <w:sz w:val="20"/>
                <w:szCs w:val="20"/>
              </w:rPr>
              <w:t xml:space="preserve">use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specialized software and systems to reduce the threat of </w:t>
            </w:r>
            <w:r w:rsidR="0076772B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/>
                <w:sz w:val="20"/>
                <w:szCs w:val="20"/>
              </w:rPr>
              <w:t>security breaches</w:t>
            </w:r>
            <w:r w:rsidR="00AF57D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0560769" w14:textId="7307F195" w:rsidR="00581D64" w:rsidRPr="009F32B6" w:rsidRDefault="00581D64" w:rsidP="00581D64">
            <w:pPr>
              <w:pStyle w:val="NormalWeb"/>
              <w:numPr>
                <w:ilvl w:val="1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&lt;List </w:t>
            </w:r>
            <w:r w:rsidRPr="00581D64">
              <w:rPr>
                <w:rFonts w:asciiTheme="minorHAnsi" w:hAnsiTheme="minorHAnsi"/>
                <w:sz w:val="20"/>
                <w:szCs w:val="20"/>
              </w:rPr>
              <w:t>controls, processes and technologies for protecting data</w:t>
            </w:r>
            <w:r w:rsidR="007B31FF">
              <w:rPr>
                <w:rFonts w:asciiTheme="minorHAnsi" w:hAnsiTheme="minorHAnsi"/>
                <w:sz w:val="20"/>
                <w:szCs w:val="20"/>
              </w:rPr>
              <w:t xml:space="preserve"> --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31FF">
              <w:rPr>
                <w:rFonts w:asciiTheme="minorHAnsi" w:hAnsiTheme="minorHAnsi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sz w:val="20"/>
                <w:szCs w:val="20"/>
              </w:rPr>
              <w:t>or example, access control, encryption, network security, endpoint security, mobile security, data storage, etc.&gt;</w:t>
            </w:r>
          </w:p>
          <w:p w14:paraId="32F4BA3A" w14:textId="64C159D7" w:rsidR="001423DA" w:rsidRDefault="00AF57D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</w:t>
            </w:r>
            <w:r w:rsidR="000C4F55">
              <w:rPr>
                <w:rFonts w:asciiTheme="minorHAnsi" w:hAnsiTheme="minorHAnsi"/>
                <w:sz w:val="20"/>
                <w:szCs w:val="20"/>
              </w:rPr>
              <w:t>regularly test the security of the company</w:t>
            </w:r>
            <w:r w:rsidR="00581D64">
              <w:rPr>
                <w:rFonts w:asciiTheme="minorHAnsi" w:hAnsiTheme="minorHAnsi"/>
                <w:sz w:val="20"/>
                <w:szCs w:val="20"/>
              </w:rPr>
              <w:t>'</w:t>
            </w:r>
            <w:r w:rsidR="000C4F55">
              <w:rPr>
                <w:rFonts w:asciiTheme="minorHAnsi" w:hAnsiTheme="minorHAnsi"/>
                <w:sz w:val="20"/>
                <w:szCs w:val="20"/>
              </w:rPr>
              <w:t>s perimeters using penetration tests and other forensic methods</w:t>
            </w:r>
            <w:r w:rsidR="00581D64">
              <w:rPr>
                <w:rFonts w:asciiTheme="minorHAnsi" w:hAnsiTheme="minorHAnsi"/>
                <w:sz w:val="20"/>
                <w:szCs w:val="20"/>
              </w:rPr>
              <w:t>,</w:t>
            </w:r>
            <w:r w:rsidR="00B9635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4F55">
              <w:rPr>
                <w:rFonts w:asciiTheme="minorHAnsi" w:hAnsiTheme="minorHAnsi"/>
                <w:sz w:val="20"/>
                <w:szCs w:val="20"/>
              </w:rPr>
              <w:t>and</w:t>
            </w:r>
            <w:r w:rsidR="007B31FF">
              <w:rPr>
                <w:rFonts w:asciiTheme="minorHAnsi" w:hAnsiTheme="minorHAnsi"/>
                <w:sz w:val="20"/>
                <w:szCs w:val="20"/>
              </w:rPr>
              <w:t xml:space="preserve"> it will</w:t>
            </w:r>
            <w:r w:rsidR="000C4F55">
              <w:rPr>
                <w:rFonts w:asciiTheme="minorHAnsi" w:hAnsiTheme="minorHAnsi"/>
                <w:sz w:val="20"/>
                <w:szCs w:val="20"/>
              </w:rPr>
              <w:t xml:space="preserve"> document all </w:t>
            </w:r>
            <w:r w:rsidR="0076772B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 w:rsidR="000C4F55">
              <w:rPr>
                <w:rFonts w:asciiTheme="minorHAnsi" w:hAnsiTheme="minorHAnsi"/>
                <w:sz w:val="20"/>
                <w:szCs w:val="20"/>
              </w:rPr>
              <w:t>security procedures and controls.</w:t>
            </w:r>
          </w:p>
          <w:p w14:paraId="149FBBB4" w14:textId="7E7E58E2" w:rsidR="00913658" w:rsidRDefault="0091365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IT department will identify and employ suitably trained and experienced data security professionals to lead and support its data security activities</w:t>
            </w:r>
            <w:r w:rsidR="00581D6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7674FFD" w14:textId="3D71F855" w:rsidR="00913658" w:rsidRDefault="0091365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security operations center (SOC) will be established to centrally locate all data security activities and personnel</w:t>
            </w:r>
            <w:r w:rsidR="00581D6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1990215" w14:textId="09EB99C9" w:rsidR="001423DA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periodically conduct a risk assessment of the internal and external threats and vulnerabilities of </w:t>
            </w:r>
            <w:r w:rsidR="0076772B">
              <w:rPr>
                <w:rFonts w:asciiTheme="minorHAnsi" w:hAnsiTheme="minorHAnsi"/>
                <w:sz w:val="20"/>
                <w:szCs w:val="20"/>
              </w:rPr>
              <w:t>&lt;company name&gt;</w:t>
            </w:r>
            <w:r w:rsidR="00581D64">
              <w:rPr>
                <w:rFonts w:asciiTheme="minorHAnsi" w:hAnsiTheme="minorHAnsi"/>
                <w:sz w:val="20"/>
                <w:szCs w:val="20"/>
              </w:rPr>
              <w:t>'</w:t>
            </w:r>
            <w:r w:rsidR="00B9635F">
              <w:rPr>
                <w:rFonts w:asciiTheme="minorHAnsi" w:hAnsiTheme="minorHAnsi"/>
                <w:sz w:val="20"/>
                <w:szCs w:val="20"/>
              </w:rPr>
              <w:t>s</w:t>
            </w:r>
            <w:r w:rsidR="0076772B">
              <w:rPr>
                <w:rFonts w:asciiTheme="minorHAnsi" w:hAnsiTheme="minorHAnsi"/>
                <w:sz w:val="20"/>
                <w:szCs w:val="20"/>
              </w:rPr>
              <w:t xml:space="preserve"> data security </w:t>
            </w:r>
            <w:r>
              <w:rPr>
                <w:rFonts w:asciiTheme="minorHAnsi" w:hAnsiTheme="minorHAnsi"/>
                <w:sz w:val="20"/>
                <w:szCs w:val="20"/>
              </w:rPr>
              <w:t>environment.</w:t>
            </w:r>
          </w:p>
          <w:p w14:paraId="15F1D69E" w14:textId="601D982A" w:rsidR="001423DA" w:rsidRDefault="005D63A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 w:rsidR="000C4F55">
              <w:rPr>
                <w:rFonts w:asciiTheme="minorHAnsi" w:hAnsiTheme="minorHAnsi"/>
                <w:sz w:val="20"/>
                <w:szCs w:val="20"/>
              </w:rPr>
              <w:t>security policies and associated activities will comply with legislative, regulatory and contractual requirements.</w:t>
            </w:r>
          </w:p>
          <w:p w14:paraId="79C32FF4" w14:textId="77777777" w:rsidR="001423DA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provide </w:t>
            </w:r>
            <w:r w:rsidR="005D63A3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/>
                <w:sz w:val="20"/>
                <w:szCs w:val="20"/>
              </w:rPr>
              <w:t>security education, training and awareness programs.</w:t>
            </w:r>
          </w:p>
          <w:p w14:paraId="5013AB8F" w14:textId="6A637A9E" w:rsidR="005D63A3" w:rsidRDefault="005D63A3" w:rsidP="005D63A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IT department will enable disaster recovery capabilities in its data security controls.</w:t>
            </w:r>
          </w:p>
          <w:p w14:paraId="1DA979F9" w14:textId="649A136C" w:rsidR="001423DA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define </w:t>
            </w:r>
            <w:r w:rsidR="00C82CB6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>consequences of violati</w:t>
            </w:r>
            <w:r w:rsidR="00C82CB6">
              <w:rPr>
                <w:rFonts w:asciiTheme="minorHAnsi" w:hAnsiTheme="minorHAnsi"/>
                <w:sz w:val="20"/>
                <w:szCs w:val="20"/>
              </w:rPr>
              <w:t>ng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63A3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/>
                <w:sz w:val="20"/>
                <w:szCs w:val="20"/>
              </w:rPr>
              <w:t>security policy.</w:t>
            </w:r>
          </w:p>
          <w:p w14:paraId="09B903F3" w14:textId="77777777" w:rsidR="001423DA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define how </w:t>
            </w:r>
            <w:r w:rsidR="005D63A3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/>
                <w:sz w:val="20"/>
                <w:szCs w:val="20"/>
              </w:rPr>
              <w:t>security incidents are reported and managed.</w:t>
            </w:r>
          </w:p>
          <w:p w14:paraId="3F984174" w14:textId="61187A49" w:rsidR="001423DA" w:rsidRDefault="005D63A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</w:t>
            </w:r>
            <w:r w:rsidR="004670F5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ompany name&gt; </w:t>
            </w:r>
            <w:r w:rsidR="000C4F55">
              <w:rPr>
                <w:rFonts w:asciiTheme="minorHAnsi" w:hAnsiTheme="minorHAnsi"/>
                <w:sz w:val="20"/>
                <w:szCs w:val="20"/>
              </w:rPr>
              <w:t xml:space="preserve">employees must sign the employee contract agreeing to accept and comply with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 w:rsidR="000C4F55">
              <w:rPr>
                <w:rFonts w:asciiTheme="minorHAnsi" w:hAnsiTheme="minorHAnsi"/>
                <w:sz w:val="20"/>
                <w:szCs w:val="20"/>
              </w:rPr>
              <w:t>security policies at the time they are hired and on a regular basis (e.g., annually) through the employee handbook and/or in contract renewals to account for policy changes over time.</w:t>
            </w:r>
          </w:p>
          <w:p w14:paraId="4F13DE13" w14:textId="07E84C52" w:rsidR="001423DA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All proposed changes to </w:t>
            </w:r>
            <w:r w:rsidR="005D63A3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/>
                <w:sz w:val="20"/>
                <w:szCs w:val="20"/>
              </w:rPr>
              <w:t>security are to be documented in detail</w:t>
            </w:r>
            <w:r w:rsidR="00913658">
              <w:rPr>
                <w:rFonts w:asciiTheme="minorHAnsi" w:hAnsiTheme="minorHAnsi"/>
                <w:sz w:val="20"/>
                <w:szCs w:val="20"/>
              </w:rPr>
              <w:t xml:space="preserve"> and facilitated using an approved change management process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07B43F1" w14:textId="306AF1C3" w:rsidR="00B82175" w:rsidRDefault="00B82175" w:rsidP="00581D6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  <w:p w14:paraId="483B5E10" w14:textId="77777777" w:rsidR="001423DA" w:rsidRDefault="001423DA">
            <w:pPr>
              <w:ind w:left="357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4BA82E56" w14:textId="77777777" w:rsidTr="00F709F6">
        <w:tc>
          <w:tcPr>
            <w:tcW w:w="9350" w:type="dxa"/>
            <w:gridSpan w:val="2"/>
          </w:tcPr>
          <w:p w14:paraId="136EA5B6" w14:textId="61E52F10" w:rsidR="001423DA" w:rsidRPr="00B82175" w:rsidRDefault="000C4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2175">
              <w:rPr>
                <w:rStyle w:val="Strong"/>
                <w:sz w:val="20"/>
                <w:szCs w:val="20"/>
              </w:rPr>
              <w:t>Additional</w:t>
            </w:r>
            <w:r w:rsidR="00B82175" w:rsidRPr="00B82175">
              <w:rPr>
                <w:rStyle w:val="Strong"/>
                <w:sz w:val="20"/>
                <w:szCs w:val="20"/>
              </w:rPr>
              <w:t>/</w:t>
            </w:r>
            <w:r w:rsidR="00B82175" w:rsidRPr="00581D64">
              <w:rPr>
                <w:rStyle w:val="Strong"/>
                <w:sz w:val="20"/>
                <w:szCs w:val="20"/>
              </w:rPr>
              <w:t>related</w:t>
            </w:r>
            <w:r w:rsidRPr="00B82175">
              <w:rPr>
                <w:rStyle w:val="Strong"/>
                <w:sz w:val="20"/>
                <w:szCs w:val="20"/>
              </w:rPr>
              <w:t xml:space="preserve"> </w:t>
            </w:r>
            <w:r w:rsidR="00BF731B" w:rsidRPr="00B82175">
              <w:rPr>
                <w:rStyle w:val="Strong"/>
                <w:sz w:val="20"/>
                <w:szCs w:val="20"/>
              </w:rPr>
              <w:t>p</w:t>
            </w:r>
            <w:r w:rsidRPr="00B82175">
              <w:rPr>
                <w:rStyle w:val="Strong"/>
                <w:sz w:val="20"/>
                <w:szCs w:val="20"/>
              </w:rPr>
              <w:t xml:space="preserve">olicies </w:t>
            </w:r>
          </w:p>
          <w:p w14:paraId="16D7EF04" w14:textId="26C630A7" w:rsidR="001423DA" w:rsidRDefault="000C4F5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Additional policies that are part of </w:t>
            </w:r>
            <w:r w:rsidR="005D63A3">
              <w:rPr>
                <w:sz w:val="20"/>
              </w:rPr>
              <w:t>&lt;company name&gt;</w:t>
            </w:r>
            <w:r w:rsidR="00581D64">
              <w:rPr>
                <w:sz w:val="20"/>
              </w:rPr>
              <w:t>'</w:t>
            </w:r>
            <w:r>
              <w:rPr>
                <w:sz w:val="20"/>
              </w:rPr>
              <w:t xml:space="preserve">s overall </w:t>
            </w:r>
            <w:r w:rsidR="005D63A3">
              <w:rPr>
                <w:sz w:val="20"/>
              </w:rPr>
              <w:t xml:space="preserve">data </w:t>
            </w:r>
            <w:r>
              <w:rPr>
                <w:sz w:val="20"/>
              </w:rPr>
              <w:t>security policy may include, at management</w:t>
            </w:r>
            <w:r w:rsidR="00581D64">
              <w:rPr>
                <w:sz w:val="20"/>
              </w:rPr>
              <w:t>'</w:t>
            </w:r>
            <w:r>
              <w:rPr>
                <w:sz w:val="20"/>
              </w:rPr>
              <w:t>s discretion, the following:</w:t>
            </w:r>
          </w:p>
          <w:p w14:paraId="74F93342" w14:textId="77777777" w:rsidR="001423DA" w:rsidRDefault="001423D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1FA6ED6C" w14:textId="334B2325" w:rsidR="006141EE" w:rsidRPr="00581D64" w:rsidRDefault="006141EE" w:rsidP="00581D6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&lt;List policies</w:t>
            </w:r>
            <w:r w:rsidR="007B31FF">
              <w:rPr>
                <w:sz w:val="20"/>
              </w:rPr>
              <w:t xml:space="preserve"> --</w:t>
            </w:r>
            <w:r>
              <w:rPr>
                <w:sz w:val="20"/>
              </w:rPr>
              <w:t xml:space="preserve"> </w:t>
            </w:r>
            <w:r w:rsidR="007B31FF">
              <w:rPr>
                <w:sz w:val="20"/>
              </w:rPr>
              <w:t>f</w:t>
            </w:r>
            <w:r>
              <w:rPr>
                <w:sz w:val="20"/>
              </w:rPr>
              <w:t xml:space="preserve">or example, data classification policy, data retention policy, email security policy, incident response plan, data backup policy, password policy, remote access policy, </w:t>
            </w:r>
            <w:r w:rsidR="00581D64">
              <w:rPr>
                <w:sz w:val="20"/>
              </w:rPr>
              <w:t>acceptable</w:t>
            </w:r>
            <w:r>
              <w:rPr>
                <w:sz w:val="20"/>
              </w:rPr>
              <w:t xml:space="preserve"> use policy, including AI and generative AI, etc.&gt;</w:t>
            </w:r>
          </w:p>
          <w:p w14:paraId="0FD6EE59" w14:textId="3C2227F0" w:rsidR="0055017A" w:rsidRDefault="0055017A" w:rsidP="0055017A">
            <w:pPr>
              <w:autoSpaceDE w:val="0"/>
              <w:autoSpaceDN w:val="0"/>
              <w:adjustRightInd w:val="0"/>
              <w:rPr>
                <w:rFonts w:cstheme="minorHAnsi"/>
                <w:sz w:val="16"/>
              </w:rPr>
            </w:pPr>
          </w:p>
          <w:p w14:paraId="59BB3892" w14:textId="77777777" w:rsidR="0055017A" w:rsidRDefault="0055017A" w:rsidP="0055017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Style w:val="Strong"/>
                <w:rFonts w:asciiTheme="minorHAnsi" w:hAnsiTheme="minorHAnsi"/>
                <w:sz w:val="20"/>
                <w:szCs w:val="22"/>
              </w:rPr>
              <w:t xml:space="preserve">Applicability of other policies </w:t>
            </w:r>
          </w:p>
          <w:p w14:paraId="4FA089CD" w14:textId="5555CE3A" w:rsidR="0055017A" w:rsidRPr="00581D64" w:rsidRDefault="0055017A" w:rsidP="00581D6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This document is part of &lt;company name&gt;</w:t>
            </w:r>
            <w:r w:rsidR="00581D64">
              <w:rPr>
                <w:rFonts w:asciiTheme="minorHAnsi" w:hAnsiTheme="minorHAnsi"/>
                <w:sz w:val="20"/>
                <w:szCs w:val="22"/>
              </w:rPr>
              <w:t>'</w:t>
            </w:r>
            <w:r>
              <w:rPr>
                <w:rFonts w:asciiTheme="minorHAnsi" w:hAnsiTheme="minorHAnsi"/>
                <w:sz w:val="20"/>
                <w:szCs w:val="22"/>
              </w:rPr>
              <w:t>s suite of IT policies. Other policies may apply to the topics covered in this document, and as such, the applicable policies should be reviewed as needed.</w:t>
            </w:r>
          </w:p>
          <w:p w14:paraId="3444BA34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74644E8A" w14:textId="77777777" w:rsidTr="00F709F6">
        <w:tc>
          <w:tcPr>
            <w:tcW w:w="9350" w:type="dxa"/>
            <w:gridSpan w:val="2"/>
          </w:tcPr>
          <w:p w14:paraId="71A4AE9A" w14:textId="0123E788" w:rsidR="001423DA" w:rsidRDefault="000C4F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Style w:val="Strong"/>
                <w:rFonts w:asciiTheme="minorHAnsi" w:hAnsiTheme="minorHAnsi"/>
                <w:sz w:val="20"/>
                <w:szCs w:val="22"/>
              </w:rPr>
              <w:t xml:space="preserve">Enforcement </w:t>
            </w:r>
          </w:p>
          <w:p w14:paraId="300B8C9D" w14:textId="4A04E597" w:rsidR="00C82CB6" w:rsidRDefault="000C4F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This policy will be enforced by the </w:t>
            </w:r>
            <w:r w:rsidR="00DA53A0">
              <w:rPr>
                <w:rFonts w:asciiTheme="minorHAnsi" w:hAnsiTheme="minorHAnsi"/>
                <w:sz w:val="20"/>
                <w:szCs w:val="22"/>
              </w:rPr>
              <w:t>IT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DA53A0">
              <w:rPr>
                <w:rFonts w:asciiTheme="minorHAnsi" w:hAnsiTheme="minorHAnsi"/>
                <w:sz w:val="20"/>
                <w:szCs w:val="22"/>
              </w:rPr>
              <w:t>d</w:t>
            </w:r>
            <w:r>
              <w:rPr>
                <w:rFonts w:asciiTheme="minorHAnsi" w:hAnsiTheme="minorHAnsi"/>
                <w:sz w:val="20"/>
                <w:szCs w:val="22"/>
              </w:rPr>
              <w:t>epartment</w:t>
            </w:r>
            <w:r w:rsidR="005D63A3">
              <w:rPr>
                <w:rFonts w:asciiTheme="minorHAnsi" w:hAnsiTheme="minorHAnsi"/>
                <w:sz w:val="20"/>
                <w:szCs w:val="22"/>
              </w:rPr>
              <w:t xml:space="preserve"> in partnership with the H</w:t>
            </w:r>
            <w:r w:rsidR="00DA53A0">
              <w:rPr>
                <w:rFonts w:asciiTheme="minorHAnsi" w:hAnsiTheme="minorHAnsi"/>
                <w:sz w:val="20"/>
                <w:szCs w:val="22"/>
              </w:rPr>
              <w:t>R</w:t>
            </w:r>
            <w:r w:rsidR="005D63A3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DA53A0">
              <w:rPr>
                <w:rFonts w:asciiTheme="minorHAnsi" w:hAnsiTheme="minorHAnsi"/>
                <w:sz w:val="20"/>
                <w:szCs w:val="22"/>
              </w:rPr>
              <w:t>d</w:t>
            </w:r>
            <w:r w:rsidR="005D63A3">
              <w:rPr>
                <w:rFonts w:asciiTheme="minorHAnsi" w:hAnsiTheme="minorHAnsi"/>
                <w:sz w:val="20"/>
                <w:szCs w:val="22"/>
              </w:rPr>
              <w:t>epartment</w:t>
            </w:r>
            <w:r>
              <w:rPr>
                <w:rFonts w:asciiTheme="minorHAnsi" w:hAnsiTheme="minorHAnsi"/>
                <w:sz w:val="20"/>
                <w:szCs w:val="22"/>
              </w:rPr>
              <w:t>.</w:t>
            </w:r>
          </w:p>
          <w:p w14:paraId="59FCC691" w14:textId="77777777" w:rsidR="00685838" w:rsidRDefault="006858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</w:p>
          <w:p w14:paraId="51767031" w14:textId="695B6783" w:rsidR="00685838" w:rsidRDefault="006858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Penalties for policy violations include the following:</w:t>
            </w:r>
          </w:p>
          <w:p w14:paraId="170C06D8" w14:textId="64901C81" w:rsidR="00685838" w:rsidRDefault="00685838" w:rsidP="00581D6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&lt;</w:t>
            </w:r>
            <w:r w:rsidR="007B31FF">
              <w:rPr>
                <w:rFonts w:asciiTheme="minorHAnsi" w:hAnsiTheme="minorHAnsi"/>
                <w:sz w:val="20"/>
              </w:rPr>
              <w:t>L</w:t>
            </w:r>
            <w:r>
              <w:rPr>
                <w:rFonts w:asciiTheme="minorHAnsi" w:hAnsiTheme="minorHAnsi"/>
                <w:sz w:val="20"/>
              </w:rPr>
              <w:t>ist penalties&gt;</w:t>
            </w:r>
          </w:p>
          <w:p w14:paraId="7144B86E" w14:textId="77777777" w:rsidR="001423DA" w:rsidRDefault="001423DA" w:rsidP="00F709F6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</w:tr>
      <w:tr w:rsidR="001423DA" w14:paraId="77EF6E1B" w14:textId="77777777" w:rsidTr="00F709F6">
        <w:tc>
          <w:tcPr>
            <w:tcW w:w="9350" w:type="dxa"/>
            <w:gridSpan w:val="2"/>
          </w:tcPr>
          <w:p w14:paraId="19729E21" w14:textId="18092EF2" w:rsidR="001423DA" w:rsidRDefault="000C4F5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Management </w:t>
            </w:r>
            <w:r w:rsidR="005D63A3">
              <w:rPr>
                <w:rFonts w:cs="Times New Roman"/>
                <w:b/>
                <w:sz w:val="20"/>
                <w:szCs w:val="20"/>
              </w:rPr>
              <w:t xml:space="preserve">and </w:t>
            </w:r>
            <w:r w:rsidR="00BF731B">
              <w:rPr>
                <w:rFonts w:cs="Times New Roman"/>
                <w:b/>
                <w:sz w:val="20"/>
                <w:szCs w:val="20"/>
              </w:rPr>
              <w:t>a</w:t>
            </w:r>
            <w:r w:rsidR="005D63A3">
              <w:rPr>
                <w:rFonts w:cs="Times New Roman"/>
                <w:b/>
                <w:sz w:val="20"/>
                <w:szCs w:val="20"/>
              </w:rPr>
              <w:t xml:space="preserve">udit </w:t>
            </w:r>
            <w:r w:rsidR="00BF731B">
              <w:rPr>
                <w:rFonts w:cs="Times New Roman"/>
                <w:b/>
                <w:sz w:val="20"/>
                <w:szCs w:val="20"/>
              </w:rPr>
              <w:t>r</w:t>
            </w:r>
            <w:r>
              <w:rPr>
                <w:rFonts w:cs="Times New Roman"/>
                <w:b/>
                <w:sz w:val="20"/>
                <w:szCs w:val="20"/>
              </w:rPr>
              <w:t>eview</w:t>
            </w:r>
          </w:p>
          <w:p w14:paraId="31F86DCC" w14:textId="439C299B" w:rsidR="00C82CB6" w:rsidRDefault="000C4F5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IT management will review and update IT policies on a quarterly basis</w:t>
            </w:r>
            <w:r w:rsidR="00C337AA">
              <w:rPr>
                <w:rFonts w:cs="Times New Roman"/>
                <w:sz w:val="20"/>
                <w:szCs w:val="20"/>
              </w:rPr>
              <w:t xml:space="preserve"> </w:t>
            </w:r>
            <w:r w:rsidR="00C82CB6">
              <w:rPr>
                <w:rFonts w:cs="Times New Roman"/>
                <w:sz w:val="20"/>
                <w:szCs w:val="20"/>
              </w:rPr>
              <w:t xml:space="preserve">and </w:t>
            </w:r>
            <w:r>
              <w:rPr>
                <w:rFonts w:cs="Times New Roman"/>
                <w:sz w:val="20"/>
                <w:szCs w:val="20"/>
              </w:rPr>
              <w:t xml:space="preserve">may launch a change management initiative to change the policy(ies). All </w:t>
            </w:r>
            <w:r w:rsidR="005D63A3">
              <w:rPr>
                <w:rFonts w:cs="Times New Roman"/>
                <w:sz w:val="20"/>
                <w:szCs w:val="20"/>
              </w:rPr>
              <w:t>&lt;company name&gt;</w:t>
            </w:r>
            <w:r>
              <w:rPr>
                <w:rFonts w:cs="Times New Roman"/>
                <w:sz w:val="20"/>
                <w:szCs w:val="20"/>
              </w:rPr>
              <w:t xml:space="preserve"> IT policies will be available for review </w:t>
            </w:r>
            <w:r w:rsidR="00C82CB6">
              <w:rPr>
                <w:rFonts w:cs="Times New Roman"/>
                <w:sz w:val="20"/>
                <w:szCs w:val="20"/>
              </w:rPr>
              <w:t>during</w:t>
            </w:r>
            <w:r>
              <w:rPr>
                <w:rFonts w:cs="Times New Roman"/>
                <w:sz w:val="20"/>
                <w:szCs w:val="20"/>
              </w:rPr>
              <w:t xml:space="preserve"> scheduled IT audits.</w:t>
            </w:r>
          </w:p>
          <w:p w14:paraId="0B813C35" w14:textId="0562FA02" w:rsidR="001423DA" w:rsidRDefault="00581D6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D1E79" w14:paraId="3BB17B57" w14:textId="77777777" w:rsidTr="00F709F6">
        <w:tc>
          <w:tcPr>
            <w:tcW w:w="9350" w:type="dxa"/>
            <w:gridSpan w:val="2"/>
          </w:tcPr>
          <w:p w14:paraId="7002F3A5" w14:textId="77777777" w:rsidR="005D1E79" w:rsidRDefault="005D1E7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Version history</w:t>
            </w:r>
          </w:p>
          <w:p w14:paraId="298BBC2D" w14:textId="0AB0F9C1" w:rsidR="005D1E79" w:rsidRDefault="005D1E79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 xml:space="preserve">Version number: </w:t>
            </w:r>
          </w:p>
          <w:p w14:paraId="4C2FB730" w14:textId="47F5535C" w:rsidR="005D1E79" w:rsidRDefault="005D1E79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Date: </w:t>
            </w:r>
          </w:p>
          <w:p w14:paraId="0BFC89C6" w14:textId="77777777" w:rsidR="005D1E79" w:rsidRDefault="005D1E79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Author: </w:t>
            </w:r>
          </w:p>
          <w:p w14:paraId="24430F5F" w14:textId="2E520F1C" w:rsidR="005D1E79" w:rsidRPr="00581D64" w:rsidRDefault="005D1E79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Changes: </w:t>
            </w:r>
            <w:r>
              <w:rPr>
                <w:rFonts w:cs="Times New Roman"/>
                <w:bCs/>
                <w:sz w:val="20"/>
                <w:szCs w:val="20"/>
              </w:rPr>
              <w:br/>
            </w:r>
          </w:p>
        </w:tc>
      </w:tr>
    </w:tbl>
    <w:p w14:paraId="78A17006" w14:textId="77777777" w:rsidR="001423DA" w:rsidRDefault="001423DA"/>
    <w:sectPr w:rsidR="001423DA" w:rsidSect="0065088D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45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30C5"/>
    <w:multiLevelType w:val="hybridMultilevel"/>
    <w:tmpl w:val="4FAC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EC5"/>
    <w:multiLevelType w:val="hybridMultilevel"/>
    <w:tmpl w:val="78CA4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A31B6"/>
    <w:multiLevelType w:val="hybridMultilevel"/>
    <w:tmpl w:val="ADDA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44B2"/>
    <w:multiLevelType w:val="hybridMultilevel"/>
    <w:tmpl w:val="3AC63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6841"/>
    <w:multiLevelType w:val="hybridMultilevel"/>
    <w:tmpl w:val="D90A1338"/>
    <w:lvl w:ilvl="0" w:tplc="C53C3B2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109B"/>
    <w:multiLevelType w:val="hybridMultilevel"/>
    <w:tmpl w:val="84D45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95B99"/>
    <w:multiLevelType w:val="hybridMultilevel"/>
    <w:tmpl w:val="8AC6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6436"/>
    <w:multiLevelType w:val="hybridMultilevel"/>
    <w:tmpl w:val="70DE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BFB"/>
    <w:multiLevelType w:val="hybridMultilevel"/>
    <w:tmpl w:val="8FA42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87B0A"/>
    <w:multiLevelType w:val="hybridMultilevel"/>
    <w:tmpl w:val="124A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E78A7"/>
    <w:multiLevelType w:val="hybridMultilevel"/>
    <w:tmpl w:val="AEB00610"/>
    <w:lvl w:ilvl="0" w:tplc="8E26AB8C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817B0"/>
    <w:multiLevelType w:val="hybridMultilevel"/>
    <w:tmpl w:val="57D8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56D88"/>
    <w:multiLevelType w:val="hybridMultilevel"/>
    <w:tmpl w:val="B2F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E6D57"/>
    <w:multiLevelType w:val="hybridMultilevel"/>
    <w:tmpl w:val="DED2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77678"/>
    <w:multiLevelType w:val="hybridMultilevel"/>
    <w:tmpl w:val="3968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E59F4"/>
    <w:multiLevelType w:val="hybridMultilevel"/>
    <w:tmpl w:val="9320A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02C3C"/>
    <w:multiLevelType w:val="hybridMultilevel"/>
    <w:tmpl w:val="8C7A9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834819"/>
    <w:multiLevelType w:val="hybridMultilevel"/>
    <w:tmpl w:val="4EA4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2594"/>
    <w:multiLevelType w:val="hybridMultilevel"/>
    <w:tmpl w:val="8D8A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1E98"/>
    <w:multiLevelType w:val="hybridMultilevel"/>
    <w:tmpl w:val="0A140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D6F24"/>
    <w:multiLevelType w:val="hybridMultilevel"/>
    <w:tmpl w:val="56B8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271EB"/>
    <w:multiLevelType w:val="hybridMultilevel"/>
    <w:tmpl w:val="AC88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31C09"/>
    <w:multiLevelType w:val="hybridMultilevel"/>
    <w:tmpl w:val="3CCA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2F34"/>
    <w:multiLevelType w:val="hybridMultilevel"/>
    <w:tmpl w:val="3C84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37C5C"/>
    <w:multiLevelType w:val="hybridMultilevel"/>
    <w:tmpl w:val="547E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C13B3"/>
    <w:multiLevelType w:val="hybridMultilevel"/>
    <w:tmpl w:val="B1463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AD1291"/>
    <w:multiLevelType w:val="hybridMultilevel"/>
    <w:tmpl w:val="DAA0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A2A49"/>
    <w:multiLevelType w:val="hybridMultilevel"/>
    <w:tmpl w:val="FD10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478059">
    <w:abstractNumId w:val="8"/>
  </w:num>
  <w:num w:numId="2" w16cid:durableId="1124420554">
    <w:abstractNumId w:val="0"/>
  </w:num>
  <w:num w:numId="3" w16cid:durableId="1918049372">
    <w:abstractNumId w:val="10"/>
  </w:num>
  <w:num w:numId="4" w16cid:durableId="480511488">
    <w:abstractNumId w:val="27"/>
  </w:num>
  <w:num w:numId="5" w16cid:durableId="596795866">
    <w:abstractNumId w:val="19"/>
  </w:num>
  <w:num w:numId="6" w16cid:durableId="1716074573">
    <w:abstractNumId w:val="23"/>
  </w:num>
  <w:num w:numId="7" w16cid:durableId="1905988001">
    <w:abstractNumId w:val="1"/>
  </w:num>
  <w:num w:numId="8" w16cid:durableId="334648381">
    <w:abstractNumId w:val="6"/>
  </w:num>
  <w:num w:numId="9" w16cid:durableId="434442136">
    <w:abstractNumId w:val="15"/>
  </w:num>
  <w:num w:numId="10" w16cid:durableId="528878004">
    <w:abstractNumId w:val="13"/>
  </w:num>
  <w:num w:numId="11" w16cid:durableId="862592418">
    <w:abstractNumId w:val="21"/>
  </w:num>
  <w:num w:numId="12" w16cid:durableId="598873105">
    <w:abstractNumId w:val="5"/>
  </w:num>
  <w:num w:numId="13" w16cid:durableId="1382824862">
    <w:abstractNumId w:val="25"/>
  </w:num>
  <w:num w:numId="14" w16cid:durableId="2110276930">
    <w:abstractNumId w:val="7"/>
  </w:num>
  <w:num w:numId="15" w16cid:durableId="323777454">
    <w:abstractNumId w:val="14"/>
  </w:num>
  <w:num w:numId="16" w16cid:durableId="1641615722">
    <w:abstractNumId w:val="9"/>
  </w:num>
  <w:num w:numId="17" w16cid:durableId="1928267371">
    <w:abstractNumId w:val="3"/>
  </w:num>
  <w:num w:numId="18" w16cid:durableId="1264149324">
    <w:abstractNumId w:val="18"/>
  </w:num>
  <w:num w:numId="19" w16cid:durableId="1111822276">
    <w:abstractNumId w:val="22"/>
  </w:num>
  <w:num w:numId="20" w16cid:durableId="139923460">
    <w:abstractNumId w:val="24"/>
  </w:num>
  <w:num w:numId="21" w16cid:durableId="1786071309">
    <w:abstractNumId w:val="20"/>
  </w:num>
  <w:num w:numId="22" w16cid:durableId="1942446493">
    <w:abstractNumId w:val="12"/>
  </w:num>
  <w:num w:numId="23" w16cid:durableId="1095588288">
    <w:abstractNumId w:val="2"/>
  </w:num>
  <w:num w:numId="24" w16cid:durableId="1952932111">
    <w:abstractNumId w:val="16"/>
  </w:num>
  <w:num w:numId="25" w16cid:durableId="294725395">
    <w:abstractNumId w:val="17"/>
  </w:num>
  <w:num w:numId="26" w16cid:durableId="1451122449">
    <w:abstractNumId w:val="4"/>
  </w:num>
  <w:num w:numId="27" w16cid:durableId="946738972">
    <w:abstractNumId w:val="11"/>
  </w:num>
  <w:num w:numId="28" w16cid:durableId="4389132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DA"/>
    <w:rsid w:val="000C4F55"/>
    <w:rsid w:val="00140B3C"/>
    <w:rsid w:val="001423DA"/>
    <w:rsid w:val="001D354C"/>
    <w:rsid w:val="001E6674"/>
    <w:rsid w:val="0026717F"/>
    <w:rsid w:val="00440B2E"/>
    <w:rsid w:val="004670F5"/>
    <w:rsid w:val="0047673F"/>
    <w:rsid w:val="00485543"/>
    <w:rsid w:val="004D03BA"/>
    <w:rsid w:val="005231EA"/>
    <w:rsid w:val="0055017A"/>
    <w:rsid w:val="005620E1"/>
    <w:rsid w:val="00581D64"/>
    <w:rsid w:val="0059639D"/>
    <w:rsid w:val="005D1E79"/>
    <w:rsid w:val="005D63A3"/>
    <w:rsid w:val="006141EE"/>
    <w:rsid w:val="0065088D"/>
    <w:rsid w:val="00685838"/>
    <w:rsid w:val="00744E94"/>
    <w:rsid w:val="0076772B"/>
    <w:rsid w:val="007B31FF"/>
    <w:rsid w:val="00810167"/>
    <w:rsid w:val="00913658"/>
    <w:rsid w:val="009F32B6"/>
    <w:rsid w:val="00A21CD7"/>
    <w:rsid w:val="00A27C66"/>
    <w:rsid w:val="00AF57D5"/>
    <w:rsid w:val="00B82175"/>
    <w:rsid w:val="00B9635F"/>
    <w:rsid w:val="00BF731B"/>
    <w:rsid w:val="00C337AA"/>
    <w:rsid w:val="00C51F5F"/>
    <w:rsid w:val="00C82CB6"/>
    <w:rsid w:val="00CC753F"/>
    <w:rsid w:val="00D82EE3"/>
    <w:rsid w:val="00DA53A0"/>
    <w:rsid w:val="00DB1192"/>
    <w:rsid w:val="00E10769"/>
    <w:rsid w:val="00F35174"/>
    <w:rsid w:val="00F709F6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1906B"/>
  <w15:docId w15:val="{09602EA9-6666-4445-B299-EB372DEC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BF7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E727-BC5D-4AF9-AAB1-39DCFB51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858</Words>
  <Characters>5012</Characters>
  <Application>Microsoft Office Word</Application>
  <DocSecurity>0</DocSecurity>
  <Lines>113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Kirvan</dc:creator>
  <cp:lastModifiedBy>Taylor, Hayes</cp:lastModifiedBy>
  <cp:revision>7</cp:revision>
  <dcterms:created xsi:type="dcterms:W3CDTF">2024-12-23T20:53:00Z</dcterms:created>
  <dcterms:modified xsi:type="dcterms:W3CDTF">2025-03-05T21:39:00Z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cf8061498a88d6353328554db3875b53762437a35a492de2dc19d2f3236290cc</vt:lpwstr>
  </property>
</Properties>
</file>