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6"/>
        </w:rPr>
      </w:pPr>
    </w:p>
    <w:p>
      <w:pPr>
        <w:spacing w:line="276" w:lineRule="exact" w:before="92"/>
        <w:ind w:left="3179" w:right="3179" w:firstLine="0"/>
        <w:jc w:val="center"/>
        <w:rPr>
          <w:b/>
          <w:sz w:val="24"/>
        </w:rPr>
      </w:pPr>
      <w:r>
        <w:rPr>
          <w:b/>
          <w:color w:val="201F1E"/>
          <w:sz w:val="24"/>
        </w:rPr>
        <w:t>Power Outage Response Plan</w:t>
      </w:r>
    </w:p>
    <w:p>
      <w:pPr>
        <w:spacing w:line="253" w:lineRule="exact" w:before="0"/>
        <w:ind w:left="3179" w:right="3178" w:firstLine="0"/>
        <w:jc w:val="center"/>
        <w:rPr>
          <w:i/>
          <w:sz w:val="22"/>
        </w:rPr>
      </w:pPr>
      <w:r>
        <w:rPr>
          <w:i/>
          <w:color w:val="201F1E"/>
          <w:sz w:val="22"/>
        </w:rPr>
        <w:t>By Paul Kirvan, FBCI, CISA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220" w:right="510"/>
      </w:pPr>
      <w:r>
        <w:rPr/>
        <w:t>The following checklists provide activities to perform in the event of a partial or total loss of power to an organization. Include these activities with existing incident response plans or use the lists as part of a power outage-specific response plan.</w:t>
      </w:r>
    </w:p>
    <w:p>
      <w:pPr>
        <w:pStyle w:val="Heading1"/>
      </w:pPr>
      <w:r>
        <w:rPr/>
        <w:t>Event: Power outage occurs, necessitating evacuation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6139"/>
        <w:gridCol w:w="1524"/>
        <w:gridCol w:w="1450"/>
      </w:tblGrid>
      <w:tr>
        <w:trPr>
          <w:trHeight w:val="516" w:hRule="exact"/>
        </w:trPr>
        <w:tc>
          <w:tcPr>
            <w:tcW w:w="463" w:type="dxa"/>
            <w:shd w:val="clear" w:color="auto" w:fill="C6D9F1"/>
          </w:tcPr>
          <w:p>
            <w:pPr>
              <w:pStyle w:val="TableParagraph"/>
              <w:spacing w:line="269" w:lineRule="exact"/>
              <w:ind w:left="0" w:right="1"/>
              <w:jc w:val="center"/>
              <w:rPr>
                <w:rFonts w:ascii="Symbol" w:hAnsi="Symbol"/>
                <w:b/>
                <w:sz w:val="22"/>
              </w:rPr>
            </w:pPr>
            <w:r>
              <w:rPr>
                <w:rFonts w:ascii="Symbol" w:hAnsi="Symbol"/>
                <w:b/>
                <w:w w:val="100"/>
                <w:sz w:val="22"/>
              </w:rPr>
              <w:t></w:t>
            </w:r>
          </w:p>
        </w:tc>
        <w:tc>
          <w:tcPr>
            <w:tcW w:w="6139" w:type="dxa"/>
            <w:shd w:val="clear" w:color="auto" w:fill="C6D9F1"/>
          </w:tcPr>
          <w:p>
            <w:pPr>
              <w:pStyle w:val="TableParagraph"/>
              <w:ind w:left="2647" w:right="26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1524" w:type="dxa"/>
            <w:shd w:val="clear" w:color="auto" w:fill="C6D9F1"/>
          </w:tcPr>
          <w:p>
            <w:pPr>
              <w:pStyle w:val="TableParagraph"/>
              <w:ind w:left="482" w:right="84" w:hanging="380"/>
              <w:rPr>
                <w:b/>
                <w:sz w:val="22"/>
              </w:rPr>
            </w:pPr>
            <w:r>
              <w:rPr>
                <w:b/>
                <w:sz w:val="22"/>
              </w:rPr>
              <w:t>Responsible Party</w:t>
            </w:r>
          </w:p>
        </w:tc>
        <w:tc>
          <w:tcPr>
            <w:tcW w:w="1450" w:type="dxa"/>
            <w:shd w:val="clear" w:color="auto" w:fill="C6D9F1"/>
          </w:tcPr>
          <w:p>
            <w:pPr>
              <w:pStyle w:val="TableParagraph"/>
              <w:ind w:left="400" w:right="225" w:hanging="159"/>
              <w:rPr>
                <w:b/>
                <w:sz w:val="22"/>
              </w:rPr>
            </w:pPr>
            <w:r>
              <w:rPr>
                <w:b/>
                <w:sz w:val="22"/>
              </w:rPr>
              <w:t>Action(s) Taken</w:t>
            </w:r>
          </w:p>
        </w:tc>
      </w:tr>
      <w:tr>
        <w:trPr>
          <w:trHeight w:val="262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  Contact employees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  Determine that employees are safe and unhurt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2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3.  Check for lighting in internal rooms/offices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4.  Check for lighting in bathrooms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2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5.  Check for lighting in storage areas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3" w:type="dxa"/>
          </w:tcPr>
          <w:p>
            <w:pPr>
              <w:pStyle w:val="TableParagraph"/>
              <w:spacing w:before="2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6.  Check for lighting in common areas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  Contact building management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2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  Contact electricians and/or internal facilities staff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  Contact electric company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2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 Determine extent of outage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11. Determine if evacuation is needed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2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12. Check that emergency power systems are activated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3" w:type="dxa"/>
          </w:tcPr>
          <w:p>
            <w:pPr>
              <w:pStyle w:val="TableParagraph"/>
              <w:spacing w:before="2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13. If possible, initiate backups of data and systems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14. Ensure that emergency office lighting is working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2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15. Ensure that emergency lighting in stairwells is working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16. Commence employee evacuation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2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17. Account for all employees at outside meeting areas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16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ind w:right="565"/>
              <w:rPr>
                <w:sz w:val="22"/>
              </w:rPr>
            </w:pPr>
            <w:r>
              <w:rPr>
                <w:sz w:val="22"/>
              </w:rPr>
              <w:t>18. If necessary, contact emergency services for injured employees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19. Review status of outage with appropriate entities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2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20. Decide if employees will work from home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3" w:type="dxa"/>
          </w:tcPr>
          <w:p>
            <w:pPr>
              <w:pStyle w:val="TableParagraph"/>
              <w:spacing w:before="2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21. Decide if employees will work at another office/location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22. Determine what level of work can be performed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62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23. Execute employee activities as determined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16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ind w:right="197"/>
              <w:rPr>
                <w:sz w:val="22"/>
              </w:rPr>
            </w:pPr>
            <w:r>
              <w:rPr>
                <w:sz w:val="22"/>
              </w:rPr>
              <w:t>24. Communicate status of the event to other offices, senior management and stakeholders as needed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16" w:hRule="exact"/>
        </w:trPr>
        <w:tc>
          <w:tcPr>
            <w:tcW w:w="463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6139" w:type="dxa"/>
          </w:tcPr>
          <w:p>
            <w:pPr>
              <w:pStyle w:val="TableParagraph"/>
              <w:ind w:right="234"/>
              <w:rPr>
                <w:sz w:val="22"/>
              </w:rPr>
            </w:pPr>
            <w:r>
              <w:rPr>
                <w:sz w:val="22"/>
              </w:rPr>
              <w:t>25. Communicate regularly with employees on status of the event</w:t>
            </w:r>
          </w:p>
        </w:tc>
        <w:tc>
          <w:tcPr>
            <w:tcW w:w="1524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2240" w:h="15840"/>
          <w:pgMar w:header="720" w:top="1620" w:bottom="280" w:left="1220" w:right="1220"/>
        </w:sectPr>
      </w:pPr>
    </w:p>
    <w:p>
      <w:pPr>
        <w:spacing w:before="2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Event: Power outage occurs that does not necessitate evacuation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573"/>
        <w:gridCol w:w="1841"/>
        <w:gridCol w:w="1694"/>
      </w:tblGrid>
      <w:tr>
        <w:trPr>
          <w:trHeight w:val="516" w:hRule="exact"/>
        </w:trPr>
        <w:tc>
          <w:tcPr>
            <w:tcW w:w="468" w:type="dxa"/>
            <w:shd w:val="clear" w:color="auto" w:fill="C6D9F1"/>
          </w:tcPr>
          <w:p>
            <w:pPr>
              <w:pStyle w:val="TableParagraph"/>
              <w:spacing w:line="269" w:lineRule="exact"/>
              <w:ind w:left="167"/>
              <w:rPr>
                <w:rFonts w:ascii="Symbol" w:hAnsi="Symbol"/>
                <w:b/>
                <w:sz w:val="22"/>
              </w:rPr>
            </w:pPr>
            <w:r>
              <w:rPr>
                <w:rFonts w:ascii="Symbol" w:hAnsi="Symbol"/>
                <w:b/>
                <w:w w:val="100"/>
                <w:sz w:val="22"/>
              </w:rPr>
              <w:t></w:t>
            </w:r>
          </w:p>
        </w:tc>
        <w:tc>
          <w:tcPr>
            <w:tcW w:w="5573" w:type="dxa"/>
            <w:shd w:val="clear" w:color="auto" w:fill="C6D9F1"/>
          </w:tcPr>
          <w:p>
            <w:pPr>
              <w:pStyle w:val="TableParagraph"/>
              <w:ind w:left="2364" w:right="23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1841" w:type="dxa"/>
            <w:shd w:val="clear" w:color="auto" w:fill="C6D9F1"/>
          </w:tcPr>
          <w:p>
            <w:pPr>
              <w:pStyle w:val="TableParagraph"/>
              <w:ind w:left="640" w:right="245" w:hanging="382"/>
              <w:rPr>
                <w:b/>
                <w:sz w:val="22"/>
              </w:rPr>
            </w:pPr>
            <w:r>
              <w:rPr>
                <w:b/>
                <w:sz w:val="22"/>
              </w:rPr>
              <w:t>Responsible Party</w:t>
            </w:r>
          </w:p>
        </w:tc>
        <w:tc>
          <w:tcPr>
            <w:tcW w:w="1694" w:type="dxa"/>
            <w:shd w:val="clear" w:color="auto" w:fill="C6D9F1"/>
          </w:tcPr>
          <w:p>
            <w:pPr>
              <w:pStyle w:val="TableParagraph"/>
              <w:ind w:left="523" w:right="347" w:hanging="159"/>
              <w:rPr>
                <w:b/>
                <w:sz w:val="22"/>
              </w:rPr>
            </w:pPr>
            <w:r>
              <w:rPr>
                <w:b/>
                <w:sz w:val="22"/>
              </w:rPr>
              <w:t>Action(s) Taken</w:t>
            </w:r>
          </w:p>
        </w:tc>
      </w:tr>
      <w:tr>
        <w:trPr>
          <w:trHeight w:val="262" w:hRule="exact"/>
        </w:trPr>
        <w:tc>
          <w:tcPr>
            <w:tcW w:w="468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  Perform steps 1-11 above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8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  Determine evacuation is not needed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516" w:hRule="exact"/>
        </w:trPr>
        <w:tc>
          <w:tcPr>
            <w:tcW w:w="468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ind w:right="133"/>
              <w:rPr>
                <w:sz w:val="22"/>
              </w:rPr>
            </w:pPr>
            <w:r>
              <w:rPr>
                <w:sz w:val="22"/>
              </w:rPr>
              <w:t>3. Inform employees that they can return to work when power returns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262" w:hRule="exact"/>
        </w:trPr>
        <w:tc>
          <w:tcPr>
            <w:tcW w:w="468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5.  Check that emergency power systems are activated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8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  Ensure that emergency office lighting is working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516" w:hRule="exact"/>
        </w:trPr>
        <w:tc>
          <w:tcPr>
            <w:tcW w:w="468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5. Check status of systems and data, backup and recover as needed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262" w:hRule="exact"/>
        </w:trPr>
        <w:tc>
          <w:tcPr>
            <w:tcW w:w="468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  Notify other offices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516" w:hRule="exact"/>
        </w:trPr>
        <w:tc>
          <w:tcPr>
            <w:tcW w:w="468" w:type="dxa"/>
          </w:tcPr>
          <w:p>
            <w:pPr>
              <w:pStyle w:val="TableParagraph"/>
              <w:spacing w:before="2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7. Notify senior management not working in affected office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8" w:type="dxa"/>
          </w:tcPr>
          <w:p>
            <w:pPr>
              <w:pStyle w:val="TableParagraph"/>
              <w:spacing w:before="2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8.  Notify stakeholders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768" w:hRule="exact"/>
        </w:trPr>
        <w:tc>
          <w:tcPr>
            <w:tcW w:w="468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ind w:right="523"/>
              <w:rPr>
                <w:sz w:val="22"/>
              </w:rPr>
            </w:pPr>
            <w:r>
              <w:rPr>
                <w:sz w:val="22"/>
              </w:rPr>
              <w:t>9. Check with building management, facilities management, and utility companies on operational status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516" w:hRule="exact"/>
        </w:trPr>
        <w:tc>
          <w:tcPr>
            <w:tcW w:w="468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ind w:right="132"/>
              <w:rPr>
                <w:sz w:val="22"/>
              </w:rPr>
            </w:pPr>
            <w:r>
              <w:rPr>
                <w:sz w:val="22"/>
              </w:rPr>
              <w:t>10. Determine how quickly operations can be resumed once employees are back at their work areas safely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516" w:hRule="exact"/>
        </w:trPr>
        <w:tc>
          <w:tcPr>
            <w:tcW w:w="468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ind w:right="279"/>
              <w:rPr>
                <w:sz w:val="22"/>
              </w:rPr>
            </w:pPr>
            <w:r>
              <w:rPr>
                <w:sz w:val="22"/>
              </w:rPr>
              <w:t>11. Communicate regularly with employees on status of the event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264" w:hRule="exact"/>
        </w:trPr>
        <w:tc>
          <w:tcPr>
            <w:tcW w:w="468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12. Commence recovery of business activities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  <w:tr>
        <w:trPr>
          <w:trHeight w:val="516" w:hRule="exact"/>
        </w:trPr>
        <w:tc>
          <w:tcPr>
            <w:tcW w:w="468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  <w:tc>
          <w:tcPr>
            <w:tcW w:w="5573" w:type="dxa"/>
          </w:tcPr>
          <w:p>
            <w:pPr>
              <w:pStyle w:val="TableParagraph"/>
              <w:ind w:right="194"/>
              <w:rPr>
                <w:sz w:val="22"/>
              </w:rPr>
            </w:pPr>
            <w:r>
              <w:rPr>
                <w:sz w:val="22"/>
              </w:rPr>
              <w:t>13. Perform a post-event review and prepare an after- action report to senior management on the event</w:t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1694" w:type="dxa"/>
          </w:tcPr>
          <w:p>
            <w:pPr/>
          </w:p>
        </w:tc>
      </w:tr>
    </w:tbl>
    <w:sectPr>
      <w:pgSz w:w="12240" w:h="15840"/>
      <w:pgMar w:header="720" w:footer="0" w:top="16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439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930399" cy="57912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0399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22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Kirvan</dc:creator>
  <dcterms:created xsi:type="dcterms:W3CDTF">2021-08-18T15:41:04Z</dcterms:created>
  <dcterms:modified xsi:type="dcterms:W3CDTF">2021-08-18T15:41:04Z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2021-08-18T00:00:00Z</vt:filetime>
  </property>
</Properties>
</file>