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6183" w14:textId="2CCE5954" w:rsidR="00935988" w:rsidRDefault="00935988">
      <w:pPr>
        <w:spacing w:after="0" w:line="240" w:lineRule="auto"/>
        <w:rPr>
          <w:rFonts w:ascii="Times New Roman" w:hAnsi="Times New Roman" w:cs="Times New Roman"/>
          <w:b/>
          <w:sz w:val="24"/>
        </w:rPr>
      </w:pPr>
      <w:r>
        <w:rPr>
          <w:rFonts w:ascii="Times New Roman" w:hAnsi="Times New Roman" w:cs="Times New Roman"/>
          <w:b/>
          <w:noProof/>
          <w:sz w:val="24"/>
        </w:rPr>
        <w:drawing>
          <wp:inline distT="0" distB="0" distL="0" distR="0" wp14:anchorId="0345B732" wp14:editId="2491BE2D">
            <wp:extent cx="2682240" cy="498803"/>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827239" cy="525768"/>
                    </a:xfrm>
                    <a:prstGeom prst="rect">
                      <a:avLst/>
                    </a:prstGeom>
                  </pic:spPr>
                </pic:pic>
              </a:graphicData>
            </a:graphic>
          </wp:inline>
        </w:drawing>
      </w:r>
    </w:p>
    <w:p w14:paraId="05F7D9FF" w14:textId="1072C303" w:rsidR="00935988" w:rsidRDefault="00935988">
      <w:pPr>
        <w:spacing w:after="0" w:line="240" w:lineRule="auto"/>
        <w:rPr>
          <w:rFonts w:ascii="Times New Roman" w:hAnsi="Times New Roman" w:cs="Times New Roman"/>
          <w:b/>
          <w:sz w:val="24"/>
        </w:rPr>
      </w:pPr>
    </w:p>
    <w:p w14:paraId="6FC4FF63" w14:textId="77777777" w:rsidR="00935988" w:rsidRDefault="00935988" w:rsidP="00935988">
      <w:pPr>
        <w:spacing w:after="0" w:line="240" w:lineRule="auto"/>
        <w:rPr>
          <w:rFonts w:ascii="Times New Roman" w:hAnsi="Times New Roman" w:cs="Times New Roman"/>
          <w:b/>
          <w:sz w:val="24"/>
        </w:rPr>
      </w:pPr>
    </w:p>
    <w:p w14:paraId="281F2E2E" w14:textId="77777777" w:rsidR="00CE0F74" w:rsidRDefault="00CE0F74">
      <w:pPr>
        <w:spacing w:after="0" w:line="240" w:lineRule="auto"/>
        <w:rPr>
          <w:rFonts w:ascii="Times New Roman" w:hAnsi="Times New Roman" w:cs="Times New Roman"/>
          <w:b/>
          <w:sz w:val="24"/>
        </w:rPr>
      </w:pPr>
    </w:p>
    <w:p w14:paraId="1C956CDC" w14:textId="7B452EBE" w:rsidR="001F3F90" w:rsidRPr="00900E81" w:rsidRDefault="00493C3F">
      <w:pPr>
        <w:spacing w:after="0" w:line="240" w:lineRule="auto"/>
        <w:rPr>
          <w:rFonts w:ascii="Times New Roman" w:hAnsi="Times New Roman" w:cs="Times New Roman"/>
          <w:b/>
          <w:sz w:val="24"/>
        </w:rPr>
      </w:pPr>
      <w:r w:rsidRPr="00900E81">
        <w:rPr>
          <w:rFonts w:ascii="Times New Roman" w:hAnsi="Times New Roman" w:cs="Times New Roman"/>
          <w:b/>
          <w:sz w:val="24"/>
        </w:rPr>
        <w:t xml:space="preserve">IT </w:t>
      </w:r>
      <w:r w:rsidR="00CD0730" w:rsidRPr="00900E81">
        <w:rPr>
          <w:rFonts w:ascii="Times New Roman" w:hAnsi="Times New Roman" w:cs="Times New Roman"/>
          <w:b/>
          <w:sz w:val="24"/>
        </w:rPr>
        <w:t xml:space="preserve">Data Storage </w:t>
      </w:r>
      <w:r w:rsidRPr="00900E81">
        <w:rPr>
          <w:rFonts w:ascii="Times New Roman" w:hAnsi="Times New Roman" w:cs="Times New Roman"/>
          <w:b/>
          <w:sz w:val="24"/>
        </w:rPr>
        <w:t>Policy</w:t>
      </w:r>
    </w:p>
    <w:p w14:paraId="2B7DEBE5" w14:textId="77777777" w:rsidR="001F3F90" w:rsidRPr="00900E81" w:rsidRDefault="001F3F90">
      <w:pPr>
        <w:spacing w:after="0" w:line="240" w:lineRule="auto"/>
        <w:rPr>
          <w:rFonts w:ascii="Times New Roman" w:hAnsi="Times New Roman" w:cs="Times New Roman"/>
          <w:sz w:val="20"/>
        </w:rPr>
      </w:pPr>
    </w:p>
    <w:tbl>
      <w:tblPr>
        <w:tblStyle w:val="TableGrid"/>
        <w:tblW w:w="0" w:type="auto"/>
        <w:tblLook w:val="04A0" w:firstRow="1" w:lastRow="0" w:firstColumn="1" w:lastColumn="0" w:noHBand="0" w:noVBand="1"/>
      </w:tblPr>
      <w:tblGrid>
        <w:gridCol w:w="4680"/>
        <w:gridCol w:w="4670"/>
      </w:tblGrid>
      <w:tr w:rsidR="001F3F90" w14:paraId="6B205B66" w14:textId="77777777" w:rsidTr="00900E81">
        <w:tc>
          <w:tcPr>
            <w:tcW w:w="9350" w:type="dxa"/>
            <w:gridSpan w:val="2"/>
          </w:tcPr>
          <w:p w14:paraId="18CF7DF8" w14:textId="4432FD4C" w:rsidR="001F3F90" w:rsidRPr="00493C3F" w:rsidRDefault="00493C3F" w:rsidP="00CD0730">
            <w:pPr>
              <w:rPr>
                <w:rFonts w:ascii="Times New Roman" w:hAnsi="Times New Roman" w:cs="Times New Roman"/>
              </w:rPr>
            </w:pPr>
            <w:r w:rsidRPr="00493C3F">
              <w:rPr>
                <w:rFonts w:ascii="Times New Roman" w:hAnsi="Times New Roman" w:cs="Times New Roman"/>
                <w:b/>
              </w:rPr>
              <w:t xml:space="preserve">Title: </w:t>
            </w:r>
            <w:r w:rsidRPr="00493C3F">
              <w:rPr>
                <w:rFonts w:ascii="Times New Roman" w:hAnsi="Times New Roman" w:cs="Times New Roman"/>
              </w:rPr>
              <w:t>IT</w:t>
            </w:r>
            <w:r w:rsidRPr="00493C3F">
              <w:rPr>
                <w:rFonts w:ascii="Times New Roman" w:hAnsi="Times New Roman" w:cs="Times New Roman"/>
                <w:b/>
              </w:rPr>
              <w:t xml:space="preserve"> </w:t>
            </w:r>
            <w:r w:rsidR="00CD0730" w:rsidRPr="00CD0730">
              <w:rPr>
                <w:rFonts w:ascii="Times New Roman" w:hAnsi="Times New Roman" w:cs="Times New Roman"/>
              </w:rPr>
              <w:t>Data Storage</w:t>
            </w:r>
            <w:r w:rsidR="00CD0730">
              <w:rPr>
                <w:rFonts w:ascii="Times New Roman" w:hAnsi="Times New Roman" w:cs="Times New Roman"/>
                <w:b/>
              </w:rPr>
              <w:t xml:space="preserve"> </w:t>
            </w:r>
            <w:r w:rsidRPr="00493C3F">
              <w:rPr>
                <w:rFonts w:ascii="Times New Roman" w:hAnsi="Times New Roman" w:cs="Times New Roman"/>
              </w:rPr>
              <w:t>Policy</w:t>
            </w:r>
          </w:p>
        </w:tc>
      </w:tr>
      <w:tr w:rsidR="001F3F90" w14:paraId="3C25C4D2" w14:textId="77777777" w:rsidTr="00900E81">
        <w:tc>
          <w:tcPr>
            <w:tcW w:w="4680" w:type="dxa"/>
          </w:tcPr>
          <w:p w14:paraId="535F3CC2" w14:textId="77777777" w:rsidR="001F3F90" w:rsidRPr="00493C3F" w:rsidRDefault="00493C3F">
            <w:pPr>
              <w:rPr>
                <w:rFonts w:ascii="Times New Roman" w:hAnsi="Times New Roman" w:cs="Times New Roman"/>
              </w:rPr>
            </w:pPr>
            <w:r w:rsidRPr="00493C3F">
              <w:rPr>
                <w:rFonts w:ascii="Times New Roman" w:hAnsi="Times New Roman" w:cs="Times New Roman"/>
                <w:b/>
              </w:rPr>
              <w:t>Department:</w:t>
            </w:r>
            <w:r w:rsidRPr="00493C3F">
              <w:rPr>
                <w:rFonts w:ascii="Times New Roman" w:hAnsi="Times New Roman" w:cs="Times New Roman"/>
              </w:rPr>
              <w:t xml:space="preserve"> IT</w:t>
            </w:r>
          </w:p>
        </w:tc>
        <w:tc>
          <w:tcPr>
            <w:tcW w:w="4670" w:type="dxa"/>
          </w:tcPr>
          <w:p w14:paraId="07AABD1D" w14:textId="77777777" w:rsidR="001F3F90" w:rsidRPr="00493C3F" w:rsidRDefault="00493C3F">
            <w:pPr>
              <w:rPr>
                <w:rFonts w:ascii="Times New Roman" w:hAnsi="Times New Roman" w:cs="Times New Roman"/>
              </w:rPr>
            </w:pPr>
            <w:r w:rsidRPr="00493C3F">
              <w:rPr>
                <w:rFonts w:ascii="Times New Roman" w:hAnsi="Times New Roman" w:cs="Times New Roman"/>
                <w:b/>
              </w:rPr>
              <w:t>Version:</w:t>
            </w:r>
            <w:r w:rsidRPr="00493C3F">
              <w:rPr>
                <w:rFonts w:ascii="Times New Roman" w:hAnsi="Times New Roman" w:cs="Times New Roman"/>
              </w:rPr>
              <w:t xml:space="preserve"> Original</w:t>
            </w:r>
          </w:p>
        </w:tc>
      </w:tr>
      <w:tr w:rsidR="001F3F90" w14:paraId="05B33772" w14:textId="77777777" w:rsidTr="00900E81">
        <w:tc>
          <w:tcPr>
            <w:tcW w:w="4680" w:type="dxa"/>
          </w:tcPr>
          <w:p w14:paraId="0FFC8A7A" w14:textId="77777777" w:rsidR="001F3F90" w:rsidRPr="00493C3F" w:rsidRDefault="00493C3F">
            <w:pPr>
              <w:rPr>
                <w:rFonts w:ascii="Times New Roman" w:hAnsi="Times New Roman" w:cs="Times New Roman"/>
                <w:b/>
              </w:rPr>
            </w:pPr>
            <w:r w:rsidRPr="00493C3F">
              <w:rPr>
                <w:rFonts w:ascii="Times New Roman" w:hAnsi="Times New Roman" w:cs="Times New Roman"/>
                <w:b/>
              </w:rPr>
              <w:t>Approved by:</w:t>
            </w:r>
          </w:p>
        </w:tc>
        <w:tc>
          <w:tcPr>
            <w:tcW w:w="4670" w:type="dxa"/>
          </w:tcPr>
          <w:p w14:paraId="66592A28" w14:textId="77777777" w:rsidR="001F3F90" w:rsidRPr="00493C3F" w:rsidRDefault="00493C3F">
            <w:pPr>
              <w:rPr>
                <w:rFonts w:ascii="Times New Roman" w:hAnsi="Times New Roman" w:cs="Times New Roman"/>
                <w:b/>
              </w:rPr>
            </w:pPr>
            <w:r w:rsidRPr="00493C3F">
              <w:rPr>
                <w:rFonts w:ascii="Times New Roman" w:hAnsi="Times New Roman" w:cs="Times New Roman"/>
                <w:b/>
              </w:rPr>
              <w:t xml:space="preserve">Approval Date: </w:t>
            </w:r>
          </w:p>
        </w:tc>
      </w:tr>
      <w:tr w:rsidR="001F3F90" w14:paraId="3485E20B" w14:textId="77777777" w:rsidTr="00900E81">
        <w:tc>
          <w:tcPr>
            <w:tcW w:w="9350" w:type="dxa"/>
            <w:gridSpan w:val="2"/>
          </w:tcPr>
          <w:p w14:paraId="4762CE01" w14:textId="77777777" w:rsidR="001F3F90" w:rsidRPr="00493C3F" w:rsidRDefault="00493C3F">
            <w:pPr>
              <w:rPr>
                <w:rFonts w:ascii="Times New Roman" w:hAnsi="Times New Roman" w:cs="Times New Roman"/>
                <w:b/>
              </w:rPr>
            </w:pPr>
            <w:r w:rsidRPr="00493C3F">
              <w:rPr>
                <w:rFonts w:ascii="Times New Roman" w:hAnsi="Times New Roman" w:cs="Times New Roman"/>
                <w:b/>
              </w:rPr>
              <w:t>Senior Management Approval:</w:t>
            </w:r>
          </w:p>
        </w:tc>
      </w:tr>
      <w:tr w:rsidR="001F3F90" w14:paraId="72188AA6" w14:textId="77777777" w:rsidTr="00900E81">
        <w:tc>
          <w:tcPr>
            <w:tcW w:w="4680" w:type="dxa"/>
          </w:tcPr>
          <w:p w14:paraId="0F3D8622" w14:textId="77777777" w:rsidR="001F3F90" w:rsidRPr="00493C3F" w:rsidRDefault="00493C3F">
            <w:pPr>
              <w:rPr>
                <w:rFonts w:ascii="Times New Roman" w:hAnsi="Times New Roman" w:cs="Times New Roman"/>
                <w:b/>
              </w:rPr>
            </w:pPr>
            <w:r w:rsidRPr="00493C3F">
              <w:rPr>
                <w:rFonts w:ascii="Times New Roman" w:hAnsi="Times New Roman" w:cs="Times New Roman"/>
                <w:b/>
              </w:rPr>
              <w:t>Effective Date:</w:t>
            </w:r>
          </w:p>
        </w:tc>
        <w:tc>
          <w:tcPr>
            <w:tcW w:w="4670" w:type="dxa"/>
          </w:tcPr>
          <w:p w14:paraId="464F7A6D" w14:textId="77777777" w:rsidR="001F3F90" w:rsidRPr="00493C3F" w:rsidRDefault="00493C3F">
            <w:pPr>
              <w:rPr>
                <w:rFonts w:ascii="Times New Roman" w:hAnsi="Times New Roman" w:cs="Times New Roman"/>
                <w:b/>
              </w:rPr>
            </w:pPr>
            <w:r w:rsidRPr="00493C3F">
              <w:rPr>
                <w:rFonts w:ascii="Times New Roman" w:hAnsi="Times New Roman" w:cs="Times New Roman"/>
                <w:b/>
              </w:rPr>
              <w:t>Last Updated:</w:t>
            </w:r>
          </w:p>
        </w:tc>
      </w:tr>
      <w:tr w:rsidR="001F3F90" w14:paraId="4106BE70" w14:textId="77777777" w:rsidTr="00900E81">
        <w:tc>
          <w:tcPr>
            <w:tcW w:w="9350" w:type="dxa"/>
            <w:gridSpan w:val="2"/>
          </w:tcPr>
          <w:p w14:paraId="328C0774" w14:textId="77777777" w:rsidR="001F3F90" w:rsidRPr="00493C3F" w:rsidRDefault="00493C3F">
            <w:pPr>
              <w:rPr>
                <w:rFonts w:ascii="Times New Roman" w:hAnsi="Times New Roman" w:cs="Times New Roman"/>
                <w:b/>
              </w:rPr>
            </w:pPr>
            <w:r w:rsidRPr="00493C3F">
              <w:rPr>
                <w:rFonts w:ascii="Times New Roman" w:hAnsi="Times New Roman" w:cs="Times New Roman"/>
                <w:b/>
              </w:rPr>
              <w:t>Author:</w:t>
            </w:r>
          </w:p>
        </w:tc>
      </w:tr>
      <w:tr w:rsidR="001F3F90" w14:paraId="0A6AF3C4" w14:textId="77777777" w:rsidTr="00900E81">
        <w:tc>
          <w:tcPr>
            <w:tcW w:w="9350" w:type="dxa"/>
            <w:gridSpan w:val="2"/>
          </w:tcPr>
          <w:p w14:paraId="3AC4AB99" w14:textId="77777777" w:rsidR="001F3F90" w:rsidRPr="00493C3F" w:rsidRDefault="00493C3F">
            <w:pPr>
              <w:autoSpaceDE w:val="0"/>
              <w:autoSpaceDN w:val="0"/>
              <w:adjustRightInd w:val="0"/>
              <w:rPr>
                <w:rFonts w:ascii="Times New Roman" w:hAnsi="Times New Roman" w:cs="Times New Roman"/>
                <w:b/>
              </w:rPr>
            </w:pPr>
            <w:r w:rsidRPr="00493C3F">
              <w:rPr>
                <w:rFonts w:ascii="Times New Roman" w:hAnsi="Times New Roman" w:cs="Times New Roman"/>
                <w:b/>
              </w:rPr>
              <w:t>Scope</w:t>
            </w:r>
          </w:p>
          <w:p w14:paraId="25F7EF6A" w14:textId="77777777" w:rsidR="00493C3F" w:rsidRDefault="00493C3F">
            <w:pPr>
              <w:autoSpaceDE w:val="0"/>
              <w:autoSpaceDN w:val="0"/>
              <w:adjustRightInd w:val="0"/>
              <w:rPr>
                <w:rFonts w:ascii="Times New Roman" w:hAnsi="Times New Roman" w:cs="Times New Roman"/>
              </w:rPr>
            </w:pPr>
          </w:p>
          <w:p w14:paraId="33A87F63" w14:textId="732C221A" w:rsidR="00493C3F" w:rsidRPr="00BE136F" w:rsidRDefault="00493C3F" w:rsidP="00493C3F">
            <w:pPr>
              <w:rPr>
                <w:rFonts w:ascii="Times New Roman" w:hAnsi="Times New Roman" w:cs="Times New Roman"/>
              </w:rPr>
            </w:pPr>
            <w:r w:rsidRPr="00BE136F">
              <w:rPr>
                <w:rFonts w:ascii="Times New Roman" w:hAnsi="Times New Roman" w:cs="Times New Roman"/>
              </w:rPr>
              <w:t xml:space="preserve">This policy applies to </w:t>
            </w:r>
            <w:r w:rsidR="00CD0730">
              <w:rPr>
                <w:rFonts w:ascii="Times New Roman" w:hAnsi="Times New Roman" w:cs="Times New Roman"/>
              </w:rPr>
              <w:t xml:space="preserve">&lt;company&gt; </w:t>
            </w:r>
            <w:r w:rsidRPr="00BE136F">
              <w:rPr>
                <w:rFonts w:ascii="Times New Roman" w:hAnsi="Times New Roman" w:cs="Times New Roman"/>
              </w:rPr>
              <w:t xml:space="preserve">employees, contractors, consultants, temporary workers and all other individuals </w:t>
            </w:r>
            <w:r w:rsidR="00CD0730">
              <w:rPr>
                <w:rFonts w:ascii="Times New Roman" w:hAnsi="Times New Roman" w:cs="Times New Roman"/>
              </w:rPr>
              <w:t xml:space="preserve">storing, </w:t>
            </w:r>
            <w:r w:rsidRPr="00BE136F">
              <w:rPr>
                <w:rFonts w:ascii="Times New Roman" w:hAnsi="Times New Roman" w:cs="Times New Roman"/>
              </w:rPr>
              <w:t xml:space="preserve">using or accessing </w:t>
            </w:r>
            <w:r w:rsidR="00CD0730">
              <w:rPr>
                <w:rFonts w:ascii="Times New Roman" w:hAnsi="Times New Roman" w:cs="Times New Roman"/>
              </w:rPr>
              <w:t xml:space="preserve">&lt;company&gt; </w:t>
            </w:r>
            <w:r w:rsidRPr="00BE136F">
              <w:rPr>
                <w:rFonts w:ascii="Times New Roman" w:hAnsi="Times New Roman" w:cs="Times New Roman"/>
              </w:rPr>
              <w:t>data</w:t>
            </w:r>
            <w:r w:rsidR="00CD0730">
              <w:rPr>
                <w:rFonts w:ascii="Times New Roman" w:hAnsi="Times New Roman" w:cs="Times New Roman"/>
              </w:rPr>
              <w:t xml:space="preserve"> and information, whether in electronic </w:t>
            </w:r>
            <w:r w:rsidR="00B1581F">
              <w:rPr>
                <w:rFonts w:ascii="Times New Roman" w:hAnsi="Times New Roman" w:cs="Times New Roman"/>
              </w:rPr>
              <w:t xml:space="preserve">or </w:t>
            </w:r>
            <w:r w:rsidR="00CD0730">
              <w:rPr>
                <w:rFonts w:ascii="Times New Roman" w:hAnsi="Times New Roman" w:cs="Times New Roman"/>
              </w:rPr>
              <w:t>hard copy formats.</w:t>
            </w:r>
          </w:p>
          <w:p w14:paraId="622BD68C" w14:textId="77777777" w:rsidR="00493C3F" w:rsidRPr="00BE136F" w:rsidRDefault="00493C3F" w:rsidP="00493C3F">
            <w:pPr>
              <w:rPr>
                <w:rFonts w:ascii="Times New Roman" w:hAnsi="Times New Roman" w:cs="Times New Roman"/>
              </w:rPr>
            </w:pPr>
          </w:p>
          <w:p w14:paraId="46D2B40B" w14:textId="1CC529D5" w:rsidR="00493C3F" w:rsidRPr="00BE136F" w:rsidRDefault="00493C3F" w:rsidP="00493C3F">
            <w:pPr>
              <w:rPr>
                <w:rFonts w:ascii="Times New Roman" w:hAnsi="Times New Roman" w:cs="Times New Roman"/>
              </w:rPr>
            </w:pPr>
            <w:r w:rsidRPr="00BE136F">
              <w:rPr>
                <w:rFonts w:ascii="Times New Roman" w:hAnsi="Times New Roman" w:cs="Times New Roman"/>
              </w:rPr>
              <w:t xml:space="preserve">This policy applies to </w:t>
            </w:r>
            <w:r w:rsidR="00CD0730">
              <w:rPr>
                <w:rFonts w:ascii="Times New Roman" w:hAnsi="Times New Roman" w:cs="Times New Roman"/>
              </w:rPr>
              <w:t xml:space="preserve">data storage activities </w:t>
            </w:r>
            <w:r w:rsidRPr="00BE136F">
              <w:rPr>
                <w:rFonts w:ascii="Times New Roman" w:hAnsi="Times New Roman" w:cs="Times New Roman"/>
              </w:rPr>
              <w:t>that are on</w:t>
            </w:r>
            <w:r w:rsidR="00CE0F74">
              <w:rPr>
                <w:rFonts w:ascii="Times New Roman" w:hAnsi="Times New Roman" w:cs="Times New Roman"/>
              </w:rPr>
              <w:t xml:space="preserve"> </w:t>
            </w:r>
            <w:r w:rsidRPr="00BE136F">
              <w:rPr>
                <w:rFonts w:ascii="Times New Roman" w:hAnsi="Times New Roman" w:cs="Times New Roman"/>
              </w:rPr>
              <w:t>premises</w:t>
            </w:r>
            <w:r w:rsidR="00CE0F74">
              <w:rPr>
                <w:rFonts w:ascii="Times New Roman" w:hAnsi="Times New Roman" w:cs="Times New Roman"/>
              </w:rPr>
              <w:t>,</w:t>
            </w:r>
            <w:r w:rsidRPr="00BE136F">
              <w:rPr>
                <w:rFonts w:ascii="Times New Roman" w:hAnsi="Times New Roman" w:cs="Times New Roman"/>
              </w:rPr>
              <w:t xml:space="preserve"> as well as </w:t>
            </w:r>
            <w:r w:rsidR="00CD0730">
              <w:rPr>
                <w:rFonts w:ascii="Times New Roman" w:hAnsi="Times New Roman" w:cs="Times New Roman"/>
              </w:rPr>
              <w:t xml:space="preserve">remotely managed using </w:t>
            </w:r>
            <w:r w:rsidRPr="00BE136F">
              <w:rPr>
                <w:rFonts w:ascii="Times New Roman" w:hAnsi="Times New Roman" w:cs="Times New Roman"/>
              </w:rPr>
              <w:t>cloud-based</w:t>
            </w:r>
            <w:r w:rsidR="00CD0730">
              <w:rPr>
                <w:rFonts w:ascii="Times New Roman" w:hAnsi="Times New Roman" w:cs="Times New Roman"/>
              </w:rPr>
              <w:t xml:space="preserve"> </w:t>
            </w:r>
            <w:r w:rsidRPr="00BE136F">
              <w:rPr>
                <w:rFonts w:ascii="Times New Roman" w:hAnsi="Times New Roman" w:cs="Times New Roman"/>
              </w:rPr>
              <w:t xml:space="preserve">or </w:t>
            </w:r>
            <w:r w:rsidR="00973477">
              <w:rPr>
                <w:rFonts w:ascii="Times New Roman" w:hAnsi="Times New Roman" w:cs="Times New Roman"/>
              </w:rPr>
              <w:t>company-managed storage technology</w:t>
            </w:r>
            <w:r w:rsidRPr="00BE136F">
              <w:rPr>
                <w:rFonts w:ascii="Times New Roman" w:hAnsi="Times New Roman" w:cs="Times New Roman"/>
              </w:rPr>
              <w:t>.</w:t>
            </w:r>
          </w:p>
          <w:p w14:paraId="1C51D527" w14:textId="77777777" w:rsidR="001F3F90" w:rsidRPr="00493C3F" w:rsidRDefault="001F3F90">
            <w:pPr>
              <w:rPr>
                <w:rFonts w:ascii="Times New Roman" w:hAnsi="Times New Roman" w:cs="Times New Roman"/>
              </w:rPr>
            </w:pPr>
          </w:p>
        </w:tc>
      </w:tr>
      <w:tr w:rsidR="001F3F90" w14:paraId="233B09DF" w14:textId="77777777" w:rsidTr="00900E81">
        <w:tc>
          <w:tcPr>
            <w:tcW w:w="9350" w:type="dxa"/>
            <w:gridSpan w:val="2"/>
          </w:tcPr>
          <w:p w14:paraId="44165B54" w14:textId="77777777" w:rsidR="001F3F90" w:rsidRPr="00493C3F" w:rsidRDefault="00493C3F">
            <w:pPr>
              <w:rPr>
                <w:rFonts w:ascii="Times New Roman" w:hAnsi="Times New Roman" w:cs="Times New Roman"/>
                <w:b/>
              </w:rPr>
            </w:pPr>
            <w:r w:rsidRPr="00493C3F">
              <w:rPr>
                <w:rFonts w:ascii="Times New Roman" w:hAnsi="Times New Roman" w:cs="Times New Roman"/>
                <w:b/>
              </w:rPr>
              <w:t>Responsibility</w:t>
            </w:r>
          </w:p>
          <w:p w14:paraId="28BA770A" w14:textId="77777777" w:rsidR="001F3F90" w:rsidRPr="00493C3F" w:rsidRDefault="001F3F90">
            <w:pPr>
              <w:autoSpaceDE w:val="0"/>
              <w:autoSpaceDN w:val="0"/>
              <w:adjustRightInd w:val="0"/>
              <w:rPr>
                <w:rFonts w:ascii="Times New Roman" w:hAnsi="Times New Roman" w:cs="Times New Roman"/>
              </w:rPr>
            </w:pPr>
          </w:p>
          <w:p w14:paraId="14758617" w14:textId="278D7310" w:rsidR="00493C3F" w:rsidRPr="00BE136F" w:rsidRDefault="00493C3F" w:rsidP="00493C3F">
            <w:pPr>
              <w:autoSpaceDE w:val="0"/>
              <w:autoSpaceDN w:val="0"/>
              <w:adjustRightInd w:val="0"/>
              <w:rPr>
                <w:rFonts w:ascii="Times New Roman" w:hAnsi="Times New Roman" w:cs="Times New Roman"/>
              </w:rPr>
            </w:pPr>
            <w:r w:rsidRPr="00BE136F">
              <w:rPr>
                <w:rFonts w:ascii="Times New Roman" w:hAnsi="Times New Roman" w:cs="Times New Roman"/>
              </w:rPr>
              <w:t xml:space="preserve">The </w:t>
            </w:r>
            <w:r w:rsidR="00370E46">
              <w:rPr>
                <w:rFonts w:ascii="Times New Roman" w:hAnsi="Times New Roman" w:cs="Times New Roman"/>
              </w:rPr>
              <w:t xml:space="preserve">&lt;company&gt; </w:t>
            </w:r>
            <w:r w:rsidRPr="00BE136F">
              <w:rPr>
                <w:rFonts w:ascii="Times New Roman" w:hAnsi="Times New Roman" w:cs="Times New Roman"/>
              </w:rPr>
              <w:t xml:space="preserve">IT </w:t>
            </w:r>
            <w:r w:rsidR="00B1581F">
              <w:rPr>
                <w:rFonts w:ascii="Times New Roman" w:hAnsi="Times New Roman" w:cs="Times New Roman"/>
              </w:rPr>
              <w:t>d</w:t>
            </w:r>
            <w:r w:rsidRPr="00BE136F">
              <w:rPr>
                <w:rFonts w:ascii="Times New Roman" w:hAnsi="Times New Roman" w:cs="Times New Roman"/>
              </w:rPr>
              <w:t xml:space="preserve">epartment is responsible for maintaining and updating this policy with the approval of the </w:t>
            </w:r>
            <w:r w:rsidR="00B1581F">
              <w:rPr>
                <w:rFonts w:ascii="Times New Roman" w:hAnsi="Times New Roman" w:cs="Times New Roman"/>
              </w:rPr>
              <w:t>c</w:t>
            </w:r>
            <w:r>
              <w:rPr>
                <w:rFonts w:ascii="Times New Roman" w:hAnsi="Times New Roman" w:cs="Times New Roman"/>
              </w:rPr>
              <w:t xml:space="preserve">hief </w:t>
            </w:r>
            <w:r w:rsidR="00B1581F">
              <w:rPr>
                <w:rFonts w:ascii="Times New Roman" w:hAnsi="Times New Roman" w:cs="Times New Roman"/>
              </w:rPr>
              <w:t>i</w:t>
            </w:r>
            <w:r w:rsidR="00370E46">
              <w:rPr>
                <w:rFonts w:ascii="Times New Roman" w:hAnsi="Times New Roman" w:cs="Times New Roman"/>
              </w:rPr>
              <w:t xml:space="preserve">nformation </w:t>
            </w:r>
            <w:r w:rsidR="00B1581F">
              <w:rPr>
                <w:rFonts w:ascii="Times New Roman" w:hAnsi="Times New Roman" w:cs="Times New Roman"/>
              </w:rPr>
              <w:t>o</w:t>
            </w:r>
            <w:r>
              <w:rPr>
                <w:rFonts w:ascii="Times New Roman" w:hAnsi="Times New Roman" w:cs="Times New Roman"/>
              </w:rPr>
              <w:t xml:space="preserve">fficer </w:t>
            </w:r>
            <w:r w:rsidR="00370E46">
              <w:rPr>
                <w:rFonts w:ascii="Times New Roman" w:hAnsi="Times New Roman" w:cs="Times New Roman"/>
              </w:rPr>
              <w:t xml:space="preserve">or </w:t>
            </w:r>
            <w:r w:rsidR="00B1581F">
              <w:rPr>
                <w:rFonts w:ascii="Times New Roman" w:hAnsi="Times New Roman" w:cs="Times New Roman"/>
              </w:rPr>
              <w:t>c</w:t>
            </w:r>
            <w:r w:rsidR="00370E46">
              <w:rPr>
                <w:rFonts w:ascii="Times New Roman" w:hAnsi="Times New Roman" w:cs="Times New Roman"/>
              </w:rPr>
              <w:t xml:space="preserve">hief </w:t>
            </w:r>
            <w:r w:rsidR="00B1581F">
              <w:rPr>
                <w:rFonts w:ascii="Times New Roman" w:hAnsi="Times New Roman" w:cs="Times New Roman"/>
              </w:rPr>
              <w:t>t</w:t>
            </w:r>
            <w:r w:rsidR="00370E46">
              <w:rPr>
                <w:rFonts w:ascii="Times New Roman" w:hAnsi="Times New Roman" w:cs="Times New Roman"/>
              </w:rPr>
              <w:t xml:space="preserve">echnology </w:t>
            </w:r>
            <w:r w:rsidR="00B1581F">
              <w:rPr>
                <w:rFonts w:ascii="Times New Roman" w:hAnsi="Times New Roman" w:cs="Times New Roman"/>
              </w:rPr>
              <w:t>o</w:t>
            </w:r>
            <w:r w:rsidR="00370E46">
              <w:rPr>
                <w:rFonts w:ascii="Times New Roman" w:hAnsi="Times New Roman" w:cs="Times New Roman"/>
              </w:rPr>
              <w:t>fficer</w:t>
            </w:r>
            <w:r w:rsidR="00CE0F74">
              <w:rPr>
                <w:rFonts w:ascii="Times New Roman" w:hAnsi="Times New Roman" w:cs="Times New Roman"/>
              </w:rPr>
              <w:t>.</w:t>
            </w:r>
          </w:p>
          <w:p w14:paraId="7BA5D075" w14:textId="77777777" w:rsidR="001F3F90" w:rsidRPr="00493C3F" w:rsidRDefault="001F3F90">
            <w:pPr>
              <w:autoSpaceDE w:val="0"/>
              <w:autoSpaceDN w:val="0"/>
              <w:adjustRightInd w:val="0"/>
              <w:rPr>
                <w:rFonts w:ascii="Times New Roman" w:hAnsi="Times New Roman" w:cs="Times New Roman"/>
              </w:rPr>
            </w:pPr>
          </w:p>
        </w:tc>
      </w:tr>
      <w:tr w:rsidR="001F3F90" w14:paraId="28C5D89E" w14:textId="77777777" w:rsidTr="00900E81">
        <w:tc>
          <w:tcPr>
            <w:tcW w:w="9350" w:type="dxa"/>
            <w:gridSpan w:val="2"/>
          </w:tcPr>
          <w:p w14:paraId="2AF6831C" w14:textId="77777777" w:rsidR="001F3F90" w:rsidRPr="00493C3F" w:rsidRDefault="00493C3F">
            <w:pPr>
              <w:rPr>
                <w:rFonts w:ascii="Times New Roman" w:hAnsi="Times New Roman" w:cs="Times New Roman"/>
                <w:b/>
              </w:rPr>
            </w:pPr>
            <w:r w:rsidRPr="00493C3F">
              <w:rPr>
                <w:rFonts w:ascii="Times New Roman" w:hAnsi="Times New Roman" w:cs="Times New Roman"/>
                <w:b/>
              </w:rPr>
              <w:t>Objectives</w:t>
            </w:r>
          </w:p>
          <w:p w14:paraId="4E108D82" w14:textId="77777777" w:rsidR="001F3F90" w:rsidRPr="00493C3F" w:rsidRDefault="001F3F90">
            <w:pPr>
              <w:rPr>
                <w:rFonts w:ascii="Times New Roman" w:hAnsi="Times New Roman" w:cs="Times New Roman"/>
              </w:rPr>
            </w:pPr>
          </w:p>
          <w:p w14:paraId="6C1180E0" w14:textId="77777777" w:rsidR="001F3F90" w:rsidRPr="00493C3F" w:rsidRDefault="00493C3F">
            <w:pPr>
              <w:rPr>
                <w:rFonts w:ascii="Times New Roman" w:hAnsi="Times New Roman" w:cs="Times New Roman"/>
                <w:lang w:bidi="th-TH"/>
              </w:rPr>
            </w:pPr>
            <w:r w:rsidRPr="00493C3F">
              <w:rPr>
                <w:rFonts w:ascii="Times New Roman" w:hAnsi="Times New Roman" w:cs="Times New Roman"/>
              </w:rPr>
              <w:t xml:space="preserve">The objective of this policy is </w:t>
            </w:r>
            <w:r w:rsidRPr="00493C3F">
              <w:rPr>
                <w:rFonts w:ascii="Times New Roman" w:hAnsi="Times New Roman" w:cs="Times New Roman"/>
                <w:lang w:bidi="th-TH"/>
              </w:rPr>
              <w:t xml:space="preserve">to define how </w:t>
            </w:r>
            <w:r w:rsidR="00370E46">
              <w:rPr>
                <w:rFonts w:ascii="Times New Roman" w:hAnsi="Times New Roman" w:cs="Times New Roman"/>
                <w:lang w:bidi="th-TH"/>
              </w:rPr>
              <w:t xml:space="preserve">data </w:t>
            </w:r>
            <w:r w:rsidRPr="00493C3F">
              <w:rPr>
                <w:rFonts w:ascii="Times New Roman" w:hAnsi="Times New Roman" w:cs="Times New Roman"/>
                <w:lang w:bidi="th-TH"/>
              </w:rPr>
              <w:t xml:space="preserve">– both electronic and hard-copy – will be </w:t>
            </w:r>
            <w:r w:rsidR="00370E46">
              <w:rPr>
                <w:rFonts w:ascii="Times New Roman" w:hAnsi="Times New Roman" w:cs="Times New Roman"/>
                <w:lang w:bidi="th-TH"/>
              </w:rPr>
              <w:t xml:space="preserve">stored </w:t>
            </w:r>
            <w:r w:rsidRPr="00493C3F">
              <w:rPr>
                <w:rFonts w:ascii="Times New Roman" w:hAnsi="Times New Roman" w:cs="Times New Roman"/>
                <w:lang w:bidi="th-TH"/>
              </w:rPr>
              <w:t xml:space="preserve">in such a way to protect </w:t>
            </w:r>
            <w:r w:rsidR="00370E46">
              <w:rPr>
                <w:rFonts w:ascii="Times New Roman" w:hAnsi="Times New Roman" w:cs="Times New Roman"/>
                <w:lang w:bidi="th-TH"/>
              </w:rPr>
              <w:t>it</w:t>
            </w:r>
            <w:r w:rsidRPr="00493C3F">
              <w:rPr>
                <w:rFonts w:ascii="Times New Roman" w:hAnsi="Times New Roman" w:cs="Times New Roman"/>
                <w:lang w:bidi="th-TH"/>
              </w:rPr>
              <w:t xml:space="preserve">, </w:t>
            </w:r>
            <w:r w:rsidR="00370E46">
              <w:rPr>
                <w:rFonts w:ascii="Times New Roman" w:hAnsi="Times New Roman" w:cs="Times New Roman"/>
                <w:lang w:bidi="th-TH"/>
              </w:rPr>
              <w:t xml:space="preserve">and </w:t>
            </w:r>
            <w:r w:rsidRPr="00493C3F">
              <w:rPr>
                <w:rFonts w:ascii="Times New Roman" w:hAnsi="Times New Roman" w:cs="Times New Roman"/>
                <w:lang w:bidi="th-TH"/>
              </w:rPr>
              <w:t xml:space="preserve">ensure </w:t>
            </w:r>
            <w:r w:rsidR="00370E46">
              <w:rPr>
                <w:rFonts w:ascii="Times New Roman" w:hAnsi="Times New Roman" w:cs="Times New Roman"/>
                <w:lang w:bidi="th-TH"/>
              </w:rPr>
              <w:t xml:space="preserve">its security and </w:t>
            </w:r>
            <w:r w:rsidRPr="00493C3F">
              <w:rPr>
                <w:rFonts w:ascii="Times New Roman" w:hAnsi="Times New Roman" w:cs="Times New Roman"/>
                <w:lang w:bidi="th-TH"/>
              </w:rPr>
              <w:t xml:space="preserve">availability, in accordance with established data </w:t>
            </w:r>
            <w:r w:rsidR="00370E46">
              <w:rPr>
                <w:rFonts w:ascii="Times New Roman" w:hAnsi="Times New Roman" w:cs="Times New Roman"/>
                <w:lang w:bidi="th-TH"/>
              </w:rPr>
              <w:t xml:space="preserve">management </w:t>
            </w:r>
            <w:r w:rsidRPr="00493C3F">
              <w:rPr>
                <w:rFonts w:ascii="Times New Roman" w:hAnsi="Times New Roman" w:cs="Times New Roman"/>
                <w:lang w:bidi="th-TH"/>
              </w:rPr>
              <w:t xml:space="preserve">policy and </w:t>
            </w:r>
            <w:r w:rsidR="00370E46">
              <w:rPr>
                <w:rFonts w:ascii="Times New Roman" w:hAnsi="Times New Roman" w:cs="Times New Roman"/>
                <w:lang w:bidi="th-TH"/>
              </w:rPr>
              <w:t xml:space="preserve">in compliance with </w:t>
            </w:r>
            <w:r w:rsidRPr="00493C3F">
              <w:rPr>
                <w:rFonts w:ascii="Times New Roman" w:hAnsi="Times New Roman" w:cs="Times New Roman"/>
                <w:lang w:bidi="th-TH"/>
              </w:rPr>
              <w:t>applicable laws</w:t>
            </w:r>
            <w:r w:rsidR="00370E46">
              <w:rPr>
                <w:rFonts w:ascii="Times New Roman" w:hAnsi="Times New Roman" w:cs="Times New Roman"/>
                <w:lang w:bidi="th-TH"/>
              </w:rPr>
              <w:t xml:space="preserve">, standards and good practice. </w:t>
            </w:r>
          </w:p>
          <w:p w14:paraId="768A0A9B" w14:textId="77777777" w:rsidR="001F3F90" w:rsidRPr="00493C3F" w:rsidRDefault="001F3F90">
            <w:pPr>
              <w:autoSpaceDE w:val="0"/>
              <w:autoSpaceDN w:val="0"/>
              <w:adjustRightInd w:val="0"/>
              <w:rPr>
                <w:rFonts w:ascii="Times New Roman" w:hAnsi="Times New Roman" w:cs="Times New Roman"/>
              </w:rPr>
            </w:pPr>
          </w:p>
        </w:tc>
      </w:tr>
      <w:tr w:rsidR="001F3F90" w14:paraId="399D514E" w14:textId="77777777" w:rsidTr="00900E81">
        <w:tc>
          <w:tcPr>
            <w:tcW w:w="9350" w:type="dxa"/>
            <w:gridSpan w:val="2"/>
          </w:tcPr>
          <w:p w14:paraId="4913E610" w14:textId="77777777" w:rsidR="001F3F90" w:rsidRPr="00493C3F" w:rsidRDefault="00493C3F">
            <w:pPr>
              <w:rPr>
                <w:rFonts w:ascii="Times New Roman" w:hAnsi="Times New Roman" w:cs="Times New Roman"/>
                <w:b/>
              </w:rPr>
            </w:pPr>
            <w:r>
              <w:rPr>
                <w:rFonts w:ascii="Times New Roman" w:hAnsi="Times New Roman" w:cs="Times New Roman"/>
                <w:b/>
              </w:rPr>
              <w:t xml:space="preserve">Purpose </w:t>
            </w:r>
          </w:p>
          <w:p w14:paraId="1B6DC44A" w14:textId="77777777" w:rsidR="001F3F90" w:rsidRPr="00493C3F" w:rsidRDefault="001F3F90">
            <w:pPr>
              <w:rPr>
                <w:rFonts w:ascii="Times New Roman" w:hAnsi="Times New Roman" w:cs="Times New Roman"/>
              </w:rPr>
            </w:pPr>
          </w:p>
          <w:p w14:paraId="5D100181" w14:textId="5CF8E493" w:rsidR="001F3F90" w:rsidRPr="00493C3F" w:rsidRDefault="00370E46">
            <w:pPr>
              <w:autoSpaceDE w:val="0"/>
              <w:autoSpaceDN w:val="0"/>
              <w:adjustRightInd w:val="0"/>
              <w:rPr>
                <w:rFonts w:ascii="Times New Roman" w:hAnsi="Times New Roman" w:cs="Times New Roman"/>
              </w:rPr>
            </w:pPr>
            <w:r>
              <w:rPr>
                <w:rFonts w:ascii="Times New Roman" w:hAnsi="Times New Roman" w:cs="Times New Roman"/>
              </w:rPr>
              <w:t>&lt;</w:t>
            </w:r>
            <w:r w:rsidR="00071ABC">
              <w:rPr>
                <w:rFonts w:ascii="Times New Roman" w:hAnsi="Times New Roman" w:cs="Times New Roman"/>
              </w:rPr>
              <w:t xml:space="preserve">The </w:t>
            </w:r>
            <w:r>
              <w:rPr>
                <w:rFonts w:ascii="Times New Roman" w:hAnsi="Times New Roman" w:cs="Times New Roman"/>
              </w:rPr>
              <w:t>company</w:t>
            </w:r>
            <w:r w:rsidR="00071ABC">
              <w:rPr>
                <w:rFonts w:ascii="Times New Roman" w:hAnsi="Times New Roman" w:cs="Times New Roman"/>
              </w:rPr>
              <w:t>'</w:t>
            </w:r>
            <w:r>
              <w:rPr>
                <w:rFonts w:ascii="Times New Roman" w:hAnsi="Times New Roman" w:cs="Times New Roman"/>
              </w:rPr>
              <w:t xml:space="preserve">s&gt; </w:t>
            </w:r>
            <w:r w:rsidR="00493C3F">
              <w:rPr>
                <w:rFonts w:ascii="Times New Roman" w:hAnsi="Times New Roman" w:cs="Times New Roman"/>
              </w:rPr>
              <w:t xml:space="preserve">purpose </w:t>
            </w:r>
            <w:r w:rsidR="00493C3F" w:rsidRPr="00493C3F">
              <w:rPr>
                <w:rFonts w:ascii="Times New Roman" w:hAnsi="Times New Roman" w:cs="Times New Roman"/>
              </w:rPr>
              <w:t xml:space="preserve">for </w:t>
            </w:r>
            <w:r>
              <w:rPr>
                <w:rFonts w:ascii="Times New Roman" w:hAnsi="Times New Roman" w:cs="Times New Roman"/>
              </w:rPr>
              <w:t xml:space="preserve">data storage </w:t>
            </w:r>
            <w:r w:rsidR="00493C3F" w:rsidRPr="00493C3F">
              <w:rPr>
                <w:rFonts w:ascii="Times New Roman" w:hAnsi="Times New Roman" w:cs="Times New Roman"/>
              </w:rPr>
              <w:t xml:space="preserve">is to ensure that all </w:t>
            </w:r>
            <w:r w:rsidR="00653550">
              <w:rPr>
                <w:rFonts w:ascii="Times New Roman" w:hAnsi="Times New Roman" w:cs="Times New Roman"/>
              </w:rPr>
              <w:t xml:space="preserve">data and information </w:t>
            </w:r>
            <w:r w:rsidR="00493C3F" w:rsidRPr="00493C3F">
              <w:rPr>
                <w:rFonts w:ascii="Times New Roman" w:hAnsi="Times New Roman" w:cs="Times New Roman"/>
              </w:rPr>
              <w:t>– in electronic or hard-copy form –</w:t>
            </w:r>
            <w:r w:rsidR="00653550">
              <w:rPr>
                <w:rFonts w:ascii="Times New Roman" w:hAnsi="Times New Roman" w:cs="Times New Roman"/>
              </w:rPr>
              <w:t xml:space="preserve"> </w:t>
            </w:r>
            <w:r w:rsidR="00493C3F" w:rsidRPr="00493C3F">
              <w:rPr>
                <w:rFonts w:ascii="Times New Roman" w:hAnsi="Times New Roman" w:cs="Times New Roman"/>
              </w:rPr>
              <w:t xml:space="preserve">needed by </w:t>
            </w:r>
            <w:r>
              <w:rPr>
                <w:rFonts w:ascii="Times New Roman" w:hAnsi="Times New Roman" w:cs="Times New Roman"/>
              </w:rPr>
              <w:t xml:space="preserve">&lt;company&gt; </w:t>
            </w:r>
            <w:r w:rsidR="00493C3F" w:rsidRPr="00493C3F">
              <w:rPr>
                <w:rFonts w:ascii="Times New Roman" w:hAnsi="Times New Roman" w:cs="Times New Roman"/>
              </w:rPr>
              <w:t xml:space="preserve">in the performance of its work are </w:t>
            </w:r>
            <w:r w:rsidR="00653550">
              <w:rPr>
                <w:rFonts w:ascii="Times New Roman" w:hAnsi="Times New Roman" w:cs="Times New Roman"/>
              </w:rPr>
              <w:t xml:space="preserve">stored in a secure repository when not in current use or when archived for future use, such that they are </w:t>
            </w:r>
            <w:r w:rsidR="00493C3F" w:rsidRPr="00493C3F">
              <w:rPr>
                <w:rFonts w:ascii="Times New Roman" w:hAnsi="Times New Roman" w:cs="Times New Roman"/>
              </w:rPr>
              <w:t xml:space="preserve">available when needed, are accessible and usable by </w:t>
            </w:r>
            <w:r w:rsidR="00653550">
              <w:rPr>
                <w:rFonts w:ascii="Times New Roman" w:hAnsi="Times New Roman" w:cs="Times New Roman"/>
              </w:rPr>
              <w:t xml:space="preserve">&lt;company&gt; </w:t>
            </w:r>
            <w:r w:rsidR="00493C3F" w:rsidRPr="00493C3F">
              <w:rPr>
                <w:rFonts w:ascii="Times New Roman" w:hAnsi="Times New Roman" w:cs="Times New Roman"/>
              </w:rPr>
              <w:t xml:space="preserve">staff, and are maintained in secure, protected environments until they are </w:t>
            </w:r>
            <w:r w:rsidR="00653550">
              <w:rPr>
                <w:rFonts w:ascii="Times New Roman" w:hAnsi="Times New Roman" w:cs="Times New Roman"/>
              </w:rPr>
              <w:t xml:space="preserve">retrieved for use, </w:t>
            </w:r>
            <w:r w:rsidR="00493C3F" w:rsidRPr="00493C3F">
              <w:rPr>
                <w:rFonts w:ascii="Times New Roman" w:hAnsi="Times New Roman" w:cs="Times New Roman"/>
              </w:rPr>
              <w:t xml:space="preserve">archived or destroyed.  </w:t>
            </w:r>
          </w:p>
          <w:p w14:paraId="4A169BA9" w14:textId="77777777" w:rsidR="001F3F90" w:rsidRPr="00493C3F" w:rsidRDefault="001F3F90">
            <w:pPr>
              <w:autoSpaceDE w:val="0"/>
              <w:autoSpaceDN w:val="0"/>
              <w:adjustRightInd w:val="0"/>
              <w:rPr>
                <w:rFonts w:ascii="Times New Roman" w:hAnsi="Times New Roman" w:cs="Times New Roman"/>
              </w:rPr>
            </w:pPr>
          </w:p>
          <w:p w14:paraId="605E8E84" w14:textId="77777777" w:rsidR="001F3F90" w:rsidRPr="00493C3F" w:rsidRDefault="00493C3F">
            <w:pPr>
              <w:pStyle w:val="Default"/>
              <w:rPr>
                <w:sz w:val="22"/>
                <w:szCs w:val="22"/>
                <w:lang w:bidi="th-TH"/>
              </w:rPr>
            </w:pPr>
            <w:r w:rsidRPr="00493C3F">
              <w:rPr>
                <w:sz w:val="22"/>
                <w:szCs w:val="22"/>
                <w:lang w:bidi="th-TH"/>
              </w:rPr>
              <w:t xml:space="preserve">The focus of </w:t>
            </w:r>
            <w:r w:rsidR="00653550">
              <w:rPr>
                <w:sz w:val="22"/>
                <w:szCs w:val="22"/>
                <w:lang w:bidi="th-TH"/>
              </w:rPr>
              <w:t xml:space="preserve">data storage </w:t>
            </w:r>
            <w:r w:rsidRPr="00493C3F">
              <w:rPr>
                <w:sz w:val="22"/>
                <w:szCs w:val="22"/>
                <w:lang w:bidi="th-TH"/>
              </w:rPr>
              <w:t xml:space="preserve">management is to </w:t>
            </w:r>
            <w:r w:rsidRPr="00493C3F">
              <w:rPr>
                <w:sz w:val="22"/>
                <w:szCs w:val="22"/>
              </w:rPr>
              <w:t>meet the legal requirements for record retention and privacy protection, optimize the use of space, minimize the cost of record retention</w:t>
            </w:r>
            <w:r w:rsidR="00653550">
              <w:rPr>
                <w:sz w:val="22"/>
                <w:szCs w:val="22"/>
              </w:rPr>
              <w:t>, and destroy outdated records.</w:t>
            </w:r>
          </w:p>
          <w:p w14:paraId="268E3BEA" w14:textId="77777777" w:rsidR="001F3F90" w:rsidRPr="00493C3F" w:rsidRDefault="001F3F90">
            <w:pPr>
              <w:rPr>
                <w:rFonts w:ascii="Times New Roman" w:hAnsi="Times New Roman" w:cs="Times New Roman"/>
              </w:rPr>
            </w:pPr>
          </w:p>
        </w:tc>
      </w:tr>
      <w:tr w:rsidR="001F3F90" w14:paraId="5A1AA9AC" w14:textId="77777777" w:rsidTr="00900E81">
        <w:tc>
          <w:tcPr>
            <w:tcW w:w="9350" w:type="dxa"/>
            <w:gridSpan w:val="2"/>
          </w:tcPr>
          <w:p w14:paraId="6344FA3F" w14:textId="77777777" w:rsidR="001F3F90" w:rsidRPr="00493C3F" w:rsidRDefault="00493C3F">
            <w:pPr>
              <w:rPr>
                <w:rFonts w:ascii="Times New Roman" w:hAnsi="Times New Roman" w:cs="Times New Roman"/>
                <w:b/>
              </w:rPr>
            </w:pPr>
            <w:r w:rsidRPr="00493C3F">
              <w:rPr>
                <w:rFonts w:ascii="Times New Roman" w:hAnsi="Times New Roman" w:cs="Times New Roman"/>
                <w:b/>
              </w:rPr>
              <w:t>Policy</w:t>
            </w:r>
          </w:p>
          <w:p w14:paraId="684125B7" w14:textId="77777777" w:rsidR="001F3F90" w:rsidRPr="00493C3F" w:rsidRDefault="001F3F90">
            <w:pPr>
              <w:rPr>
                <w:rFonts w:ascii="Times New Roman" w:hAnsi="Times New Roman" w:cs="Times New Roman"/>
              </w:rPr>
            </w:pPr>
          </w:p>
          <w:p w14:paraId="2650CDBA" w14:textId="77777777" w:rsidR="001F3F90" w:rsidRPr="00493C3F" w:rsidRDefault="00653550">
            <w:pPr>
              <w:pStyle w:val="Default"/>
              <w:rPr>
                <w:sz w:val="22"/>
                <w:szCs w:val="22"/>
              </w:rPr>
            </w:pPr>
            <w:r>
              <w:rPr>
                <w:sz w:val="22"/>
                <w:szCs w:val="22"/>
              </w:rPr>
              <w:t xml:space="preserve">&lt;Company&gt; </w:t>
            </w:r>
            <w:r w:rsidR="00493C3F" w:rsidRPr="00493C3F">
              <w:rPr>
                <w:sz w:val="22"/>
                <w:szCs w:val="22"/>
              </w:rPr>
              <w:t xml:space="preserve">requires that its </w:t>
            </w:r>
            <w:r>
              <w:rPr>
                <w:sz w:val="22"/>
                <w:szCs w:val="22"/>
              </w:rPr>
              <w:t xml:space="preserve">data and information – whether in electronic or hard-copy formats – are stored </w:t>
            </w:r>
            <w:r w:rsidR="00493C3F" w:rsidRPr="00493C3F">
              <w:rPr>
                <w:sz w:val="22"/>
                <w:szCs w:val="22"/>
              </w:rPr>
              <w:t xml:space="preserve">in a </w:t>
            </w:r>
            <w:r>
              <w:rPr>
                <w:sz w:val="22"/>
                <w:szCs w:val="22"/>
              </w:rPr>
              <w:t xml:space="preserve">secure </w:t>
            </w:r>
            <w:r w:rsidR="00493C3F" w:rsidRPr="00493C3F">
              <w:rPr>
                <w:sz w:val="22"/>
                <w:szCs w:val="22"/>
              </w:rPr>
              <w:t xml:space="preserve">manner and be managed so that the company: </w:t>
            </w:r>
          </w:p>
          <w:p w14:paraId="04F10FCC" w14:textId="77777777" w:rsidR="001F3F90" w:rsidRDefault="00493C3F">
            <w:pPr>
              <w:pStyle w:val="Default"/>
              <w:numPr>
                <w:ilvl w:val="0"/>
                <w:numId w:val="25"/>
              </w:numPr>
              <w:rPr>
                <w:sz w:val="22"/>
                <w:szCs w:val="22"/>
              </w:rPr>
            </w:pPr>
            <w:r w:rsidRPr="00493C3F">
              <w:rPr>
                <w:sz w:val="22"/>
                <w:szCs w:val="22"/>
              </w:rPr>
              <w:lastRenderedPageBreak/>
              <w:t xml:space="preserve">Meets legal standards for </w:t>
            </w:r>
            <w:r w:rsidR="00653550">
              <w:rPr>
                <w:sz w:val="22"/>
                <w:szCs w:val="22"/>
              </w:rPr>
              <w:t xml:space="preserve">data </w:t>
            </w:r>
            <w:r w:rsidRPr="00493C3F">
              <w:rPr>
                <w:sz w:val="22"/>
                <w:szCs w:val="22"/>
              </w:rPr>
              <w:t>storage</w:t>
            </w:r>
            <w:r w:rsidR="00653550">
              <w:rPr>
                <w:sz w:val="22"/>
                <w:szCs w:val="22"/>
              </w:rPr>
              <w:t>,</w:t>
            </w:r>
            <w:r w:rsidRPr="00493C3F">
              <w:rPr>
                <w:sz w:val="22"/>
                <w:szCs w:val="22"/>
              </w:rPr>
              <w:t xml:space="preserve"> retrieval </w:t>
            </w:r>
            <w:r w:rsidR="00653550">
              <w:rPr>
                <w:sz w:val="22"/>
                <w:szCs w:val="22"/>
              </w:rPr>
              <w:t>and protection</w:t>
            </w:r>
          </w:p>
          <w:p w14:paraId="2EF7B391" w14:textId="788401C7" w:rsidR="00D45654" w:rsidRPr="00493C3F" w:rsidRDefault="00D45654">
            <w:pPr>
              <w:pStyle w:val="Default"/>
              <w:numPr>
                <w:ilvl w:val="0"/>
                <w:numId w:val="25"/>
              </w:numPr>
              <w:rPr>
                <w:sz w:val="22"/>
                <w:szCs w:val="22"/>
              </w:rPr>
            </w:pPr>
            <w:r>
              <w:rPr>
                <w:sz w:val="22"/>
                <w:szCs w:val="22"/>
              </w:rPr>
              <w:t>Establishes procedures for data storage activities, delivers them to all employees, provides training on the policy as part of the new employee onboarding, provides refresher training as needed, and review</w:t>
            </w:r>
            <w:r w:rsidR="00071ABC">
              <w:rPr>
                <w:sz w:val="22"/>
                <w:szCs w:val="22"/>
              </w:rPr>
              <w:t>s</w:t>
            </w:r>
            <w:r>
              <w:rPr>
                <w:sz w:val="22"/>
                <w:szCs w:val="22"/>
              </w:rPr>
              <w:t xml:space="preserve"> and updates the procedures as needed</w:t>
            </w:r>
          </w:p>
          <w:p w14:paraId="6FB08CD4" w14:textId="5365C7BF" w:rsidR="001F3F90" w:rsidRPr="00493C3F" w:rsidRDefault="00493C3F">
            <w:pPr>
              <w:pStyle w:val="Default"/>
              <w:numPr>
                <w:ilvl w:val="0"/>
                <w:numId w:val="25"/>
              </w:numPr>
              <w:rPr>
                <w:sz w:val="22"/>
                <w:szCs w:val="22"/>
              </w:rPr>
            </w:pPr>
            <w:r w:rsidRPr="00493C3F">
              <w:rPr>
                <w:sz w:val="22"/>
                <w:szCs w:val="22"/>
              </w:rPr>
              <w:t xml:space="preserve">Protects the </w:t>
            </w:r>
            <w:r w:rsidR="00653550">
              <w:rPr>
                <w:sz w:val="22"/>
                <w:szCs w:val="22"/>
              </w:rPr>
              <w:t xml:space="preserve">data </w:t>
            </w:r>
            <w:r w:rsidRPr="00493C3F">
              <w:rPr>
                <w:sz w:val="22"/>
                <w:szCs w:val="22"/>
              </w:rPr>
              <w:t xml:space="preserve">privacy of </w:t>
            </w:r>
            <w:r w:rsidR="00653550">
              <w:rPr>
                <w:sz w:val="22"/>
                <w:szCs w:val="22"/>
              </w:rPr>
              <w:t>employees</w:t>
            </w:r>
            <w:r w:rsidRPr="00493C3F">
              <w:rPr>
                <w:sz w:val="22"/>
                <w:szCs w:val="22"/>
              </w:rPr>
              <w:t xml:space="preserve">, customers and others as required by law </w:t>
            </w:r>
          </w:p>
          <w:p w14:paraId="631781F9" w14:textId="77777777" w:rsidR="001F3F90" w:rsidRDefault="00493C3F">
            <w:pPr>
              <w:pStyle w:val="Default"/>
              <w:numPr>
                <w:ilvl w:val="0"/>
                <w:numId w:val="25"/>
              </w:numPr>
              <w:rPr>
                <w:sz w:val="22"/>
                <w:szCs w:val="22"/>
              </w:rPr>
            </w:pPr>
            <w:r w:rsidRPr="00493C3F">
              <w:rPr>
                <w:sz w:val="22"/>
                <w:szCs w:val="22"/>
              </w:rPr>
              <w:t xml:space="preserve">Optimizes the use of </w:t>
            </w:r>
            <w:r w:rsidR="00222664">
              <w:rPr>
                <w:sz w:val="22"/>
                <w:szCs w:val="22"/>
              </w:rPr>
              <w:t xml:space="preserve">primary </w:t>
            </w:r>
            <w:r w:rsidR="00653550">
              <w:rPr>
                <w:sz w:val="22"/>
                <w:szCs w:val="22"/>
              </w:rPr>
              <w:t xml:space="preserve">data storage </w:t>
            </w:r>
            <w:r w:rsidR="00365049">
              <w:rPr>
                <w:sz w:val="22"/>
                <w:szCs w:val="22"/>
              </w:rPr>
              <w:t xml:space="preserve">facilities to facilitate the timely </w:t>
            </w:r>
            <w:r w:rsidR="00AB7214">
              <w:rPr>
                <w:sz w:val="22"/>
                <w:szCs w:val="22"/>
              </w:rPr>
              <w:t xml:space="preserve">and secure </w:t>
            </w:r>
            <w:r w:rsidR="00365049">
              <w:rPr>
                <w:sz w:val="22"/>
                <w:szCs w:val="22"/>
              </w:rPr>
              <w:t>retrieval of data from storage when needed</w:t>
            </w:r>
          </w:p>
          <w:p w14:paraId="17E20919" w14:textId="77777777" w:rsidR="00222664" w:rsidRDefault="005B3CB0">
            <w:pPr>
              <w:pStyle w:val="Default"/>
              <w:numPr>
                <w:ilvl w:val="0"/>
                <w:numId w:val="25"/>
              </w:numPr>
              <w:rPr>
                <w:sz w:val="22"/>
                <w:szCs w:val="22"/>
              </w:rPr>
            </w:pPr>
            <w:r>
              <w:rPr>
                <w:sz w:val="22"/>
                <w:szCs w:val="22"/>
              </w:rPr>
              <w:t xml:space="preserve">Establishes rules for the use of </w:t>
            </w:r>
            <w:r w:rsidR="00222664">
              <w:rPr>
                <w:sz w:val="22"/>
                <w:szCs w:val="22"/>
              </w:rPr>
              <w:t>employee-owned storage devices</w:t>
            </w:r>
            <w:r>
              <w:rPr>
                <w:sz w:val="22"/>
                <w:szCs w:val="22"/>
              </w:rPr>
              <w:t xml:space="preserve"> and monitors that usage</w:t>
            </w:r>
          </w:p>
          <w:p w14:paraId="5583BD2D" w14:textId="77777777" w:rsidR="00365049" w:rsidRPr="00493C3F" w:rsidRDefault="00365049">
            <w:pPr>
              <w:pStyle w:val="Default"/>
              <w:numPr>
                <w:ilvl w:val="0"/>
                <w:numId w:val="25"/>
              </w:numPr>
              <w:rPr>
                <w:sz w:val="22"/>
                <w:szCs w:val="22"/>
              </w:rPr>
            </w:pPr>
            <w:r>
              <w:rPr>
                <w:sz w:val="22"/>
                <w:szCs w:val="22"/>
              </w:rPr>
              <w:t>Addresses security issues associated with data storage on company-owned facilities and third-party managed storage services, as well as employee-owned storage devices, to minimize the potential for unauthorized access to company data and information</w:t>
            </w:r>
          </w:p>
          <w:p w14:paraId="39FD50EC" w14:textId="088ABC17" w:rsidR="001F3F90" w:rsidRDefault="003F7343">
            <w:pPr>
              <w:pStyle w:val="Default"/>
              <w:numPr>
                <w:ilvl w:val="0"/>
                <w:numId w:val="25"/>
              </w:numPr>
              <w:rPr>
                <w:sz w:val="22"/>
                <w:szCs w:val="22"/>
              </w:rPr>
            </w:pPr>
            <w:r>
              <w:rPr>
                <w:sz w:val="22"/>
                <w:szCs w:val="22"/>
              </w:rPr>
              <w:t xml:space="preserve">Plans for and budgets for data storage </w:t>
            </w:r>
            <w:r w:rsidR="00365049">
              <w:rPr>
                <w:sz w:val="22"/>
                <w:szCs w:val="22"/>
              </w:rPr>
              <w:t>technology, whether on</w:t>
            </w:r>
            <w:r w:rsidR="00CE0F74">
              <w:rPr>
                <w:sz w:val="22"/>
                <w:szCs w:val="22"/>
              </w:rPr>
              <w:t xml:space="preserve"> </w:t>
            </w:r>
            <w:r w:rsidR="00365049">
              <w:rPr>
                <w:sz w:val="22"/>
                <w:szCs w:val="22"/>
              </w:rPr>
              <w:t>site or remote</w:t>
            </w:r>
            <w:r w:rsidR="00493C3F" w:rsidRPr="00493C3F">
              <w:rPr>
                <w:sz w:val="22"/>
                <w:szCs w:val="22"/>
              </w:rPr>
              <w:t xml:space="preserve"> </w:t>
            </w:r>
          </w:p>
          <w:p w14:paraId="461644F3" w14:textId="329D88D1" w:rsidR="001F3F90" w:rsidRPr="003F7343" w:rsidRDefault="003F7343" w:rsidP="003F7343">
            <w:pPr>
              <w:pStyle w:val="Default"/>
              <w:numPr>
                <w:ilvl w:val="0"/>
                <w:numId w:val="25"/>
              </w:numPr>
            </w:pPr>
            <w:r>
              <w:rPr>
                <w:sz w:val="22"/>
                <w:szCs w:val="22"/>
              </w:rPr>
              <w:t>Regularly reviews and adjusts its data storage facilities – both on</w:t>
            </w:r>
            <w:r w:rsidR="00CE0F74">
              <w:rPr>
                <w:sz w:val="22"/>
                <w:szCs w:val="22"/>
              </w:rPr>
              <w:t xml:space="preserve"> </w:t>
            </w:r>
            <w:r>
              <w:rPr>
                <w:sz w:val="22"/>
                <w:szCs w:val="22"/>
              </w:rPr>
              <w:t xml:space="preserve">site and remote – to promptly accommodate changes in storage requirements </w:t>
            </w:r>
          </w:p>
          <w:p w14:paraId="5F600899" w14:textId="77777777" w:rsidR="003F7343" w:rsidRDefault="003F7343">
            <w:pPr>
              <w:rPr>
                <w:rFonts w:ascii="Times New Roman" w:hAnsi="Times New Roman" w:cs="Times New Roman"/>
              </w:rPr>
            </w:pPr>
          </w:p>
          <w:p w14:paraId="0236CC1F" w14:textId="657D97E5" w:rsidR="00365049" w:rsidRDefault="00653550">
            <w:pPr>
              <w:rPr>
                <w:rFonts w:ascii="Times New Roman" w:hAnsi="Times New Roman" w:cs="Times New Roman"/>
              </w:rPr>
            </w:pPr>
            <w:r>
              <w:rPr>
                <w:rFonts w:ascii="Times New Roman" w:hAnsi="Times New Roman" w:cs="Times New Roman"/>
              </w:rPr>
              <w:t xml:space="preserve">&lt;Company&gt; </w:t>
            </w:r>
            <w:r w:rsidR="00493C3F" w:rsidRPr="00493C3F">
              <w:rPr>
                <w:rFonts w:ascii="Times New Roman" w:hAnsi="Times New Roman" w:cs="Times New Roman"/>
              </w:rPr>
              <w:t xml:space="preserve">may designate an employee to serve as </w:t>
            </w:r>
            <w:r w:rsidR="00071ABC">
              <w:rPr>
                <w:rFonts w:ascii="Times New Roman" w:hAnsi="Times New Roman" w:cs="Times New Roman"/>
              </w:rPr>
              <w:t>d</w:t>
            </w:r>
            <w:r>
              <w:rPr>
                <w:rFonts w:ascii="Times New Roman" w:hAnsi="Times New Roman" w:cs="Times New Roman"/>
              </w:rPr>
              <w:t xml:space="preserve">ata </w:t>
            </w:r>
            <w:r w:rsidR="00071ABC">
              <w:rPr>
                <w:rFonts w:ascii="Times New Roman" w:hAnsi="Times New Roman" w:cs="Times New Roman"/>
              </w:rPr>
              <w:t>s</w:t>
            </w:r>
            <w:r>
              <w:rPr>
                <w:rFonts w:ascii="Times New Roman" w:hAnsi="Times New Roman" w:cs="Times New Roman"/>
              </w:rPr>
              <w:t xml:space="preserve">torage </w:t>
            </w:r>
            <w:r w:rsidR="00071ABC">
              <w:rPr>
                <w:rFonts w:ascii="Times New Roman" w:hAnsi="Times New Roman" w:cs="Times New Roman"/>
              </w:rPr>
              <w:t>m</w:t>
            </w:r>
            <w:r w:rsidR="00493C3F" w:rsidRPr="00493C3F">
              <w:rPr>
                <w:rFonts w:ascii="Times New Roman" w:hAnsi="Times New Roman" w:cs="Times New Roman"/>
              </w:rPr>
              <w:t>anager</w:t>
            </w:r>
            <w:r>
              <w:rPr>
                <w:rFonts w:ascii="Times New Roman" w:hAnsi="Times New Roman" w:cs="Times New Roman"/>
              </w:rPr>
              <w:t>; this employee is most likely to be part of the IT department</w:t>
            </w:r>
            <w:r w:rsidR="00365049">
              <w:rPr>
                <w:rFonts w:ascii="Times New Roman" w:hAnsi="Times New Roman" w:cs="Times New Roman"/>
              </w:rPr>
              <w:t xml:space="preserve">. </w:t>
            </w:r>
          </w:p>
          <w:p w14:paraId="0B418261" w14:textId="77777777" w:rsidR="00365049" w:rsidRDefault="00365049">
            <w:pPr>
              <w:rPr>
                <w:rFonts w:ascii="Times New Roman" w:hAnsi="Times New Roman" w:cs="Times New Roman"/>
              </w:rPr>
            </w:pPr>
          </w:p>
          <w:p w14:paraId="6B3370CB" w14:textId="01DA33C0" w:rsidR="001F3F90" w:rsidRPr="00493C3F" w:rsidRDefault="00653550">
            <w:pPr>
              <w:rPr>
                <w:rFonts w:ascii="Times New Roman" w:hAnsi="Times New Roman" w:cs="Times New Roman"/>
              </w:rPr>
            </w:pPr>
            <w:r>
              <w:rPr>
                <w:rFonts w:ascii="Times New Roman" w:hAnsi="Times New Roman" w:cs="Times New Roman"/>
              </w:rPr>
              <w:t xml:space="preserve">&lt;Company&gt; </w:t>
            </w:r>
            <w:r w:rsidR="00493C3F" w:rsidRPr="00493C3F">
              <w:rPr>
                <w:rFonts w:ascii="Times New Roman" w:hAnsi="Times New Roman" w:cs="Times New Roman"/>
              </w:rPr>
              <w:t xml:space="preserve">departments that </w:t>
            </w:r>
            <w:r>
              <w:rPr>
                <w:rFonts w:ascii="Times New Roman" w:hAnsi="Times New Roman" w:cs="Times New Roman"/>
              </w:rPr>
              <w:t xml:space="preserve">generate data and information </w:t>
            </w:r>
            <w:r w:rsidR="00493C3F" w:rsidRPr="00493C3F">
              <w:rPr>
                <w:rFonts w:ascii="Times New Roman" w:hAnsi="Times New Roman" w:cs="Times New Roman"/>
              </w:rPr>
              <w:t xml:space="preserve">are responsible for establishing appropriate </w:t>
            </w:r>
            <w:r>
              <w:rPr>
                <w:rFonts w:ascii="Times New Roman" w:hAnsi="Times New Roman" w:cs="Times New Roman"/>
              </w:rPr>
              <w:t xml:space="preserve">data storage requirements </w:t>
            </w:r>
            <w:r w:rsidR="00493C3F" w:rsidRPr="00493C3F">
              <w:rPr>
                <w:rFonts w:ascii="Times New Roman" w:hAnsi="Times New Roman" w:cs="Times New Roman"/>
              </w:rPr>
              <w:t xml:space="preserve">in coordination with the </w:t>
            </w:r>
            <w:r>
              <w:rPr>
                <w:rFonts w:ascii="Times New Roman" w:hAnsi="Times New Roman" w:cs="Times New Roman"/>
              </w:rPr>
              <w:t xml:space="preserve">&lt;company&gt; </w:t>
            </w:r>
            <w:r w:rsidR="00071ABC">
              <w:rPr>
                <w:rFonts w:ascii="Times New Roman" w:hAnsi="Times New Roman" w:cs="Times New Roman"/>
              </w:rPr>
              <w:t>d</w:t>
            </w:r>
            <w:r>
              <w:rPr>
                <w:rFonts w:ascii="Times New Roman" w:hAnsi="Times New Roman" w:cs="Times New Roman"/>
              </w:rPr>
              <w:t xml:space="preserve">ata </w:t>
            </w:r>
            <w:r w:rsidR="00071ABC">
              <w:rPr>
                <w:rFonts w:ascii="Times New Roman" w:hAnsi="Times New Roman" w:cs="Times New Roman"/>
              </w:rPr>
              <w:t>s</w:t>
            </w:r>
            <w:r>
              <w:rPr>
                <w:rFonts w:ascii="Times New Roman" w:hAnsi="Times New Roman" w:cs="Times New Roman"/>
              </w:rPr>
              <w:t xml:space="preserve">torage </w:t>
            </w:r>
            <w:r w:rsidR="00071ABC">
              <w:rPr>
                <w:rFonts w:ascii="Times New Roman" w:hAnsi="Times New Roman" w:cs="Times New Roman"/>
              </w:rPr>
              <w:t>m</w:t>
            </w:r>
            <w:r w:rsidR="00493C3F" w:rsidRPr="00493C3F">
              <w:rPr>
                <w:rFonts w:ascii="Times New Roman" w:hAnsi="Times New Roman" w:cs="Times New Roman"/>
              </w:rPr>
              <w:t>anager.  Each department</w:t>
            </w:r>
            <w:r w:rsidR="00071ABC">
              <w:rPr>
                <w:rFonts w:ascii="Times New Roman" w:hAnsi="Times New Roman" w:cs="Times New Roman"/>
              </w:rPr>
              <w:t>'</w:t>
            </w:r>
            <w:r w:rsidR="00493C3F" w:rsidRPr="00493C3F">
              <w:rPr>
                <w:rFonts w:ascii="Times New Roman" w:hAnsi="Times New Roman" w:cs="Times New Roman"/>
              </w:rPr>
              <w:t xml:space="preserve">s administrative manager or a designee must: </w:t>
            </w:r>
          </w:p>
          <w:p w14:paraId="2F7B1D5D" w14:textId="186FCC5F" w:rsidR="001F3F90" w:rsidRPr="00493C3F" w:rsidRDefault="00493C3F">
            <w:pPr>
              <w:pStyle w:val="Default"/>
              <w:numPr>
                <w:ilvl w:val="0"/>
                <w:numId w:val="27"/>
              </w:numPr>
              <w:rPr>
                <w:sz w:val="22"/>
                <w:szCs w:val="22"/>
              </w:rPr>
            </w:pPr>
            <w:r w:rsidRPr="00493C3F">
              <w:rPr>
                <w:sz w:val="22"/>
                <w:szCs w:val="22"/>
              </w:rPr>
              <w:t xml:space="preserve">Be familiar with </w:t>
            </w:r>
            <w:r w:rsidR="00653550">
              <w:rPr>
                <w:sz w:val="22"/>
                <w:szCs w:val="22"/>
              </w:rPr>
              <w:t>&lt;company</w:t>
            </w:r>
            <w:r w:rsidR="00071ABC">
              <w:rPr>
                <w:sz w:val="22"/>
                <w:szCs w:val="22"/>
              </w:rPr>
              <w:t>'</w:t>
            </w:r>
            <w:r w:rsidR="00653550">
              <w:rPr>
                <w:sz w:val="22"/>
                <w:szCs w:val="22"/>
              </w:rPr>
              <w:t xml:space="preserve">s&gt; </w:t>
            </w:r>
            <w:r w:rsidR="00071ABC">
              <w:rPr>
                <w:sz w:val="22"/>
                <w:szCs w:val="22"/>
              </w:rPr>
              <w:t>d</w:t>
            </w:r>
            <w:r w:rsidR="00560576">
              <w:rPr>
                <w:sz w:val="22"/>
                <w:szCs w:val="22"/>
              </w:rPr>
              <w:t xml:space="preserve">ata </w:t>
            </w:r>
            <w:r w:rsidR="00071ABC">
              <w:rPr>
                <w:sz w:val="22"/>
                <w:szCs w:val="22"/>
              </w:rPr>
              <w:t>s</w:t>
            </w:r>
            <w:r w:rsidR="00560576">
              <w:rPr>
                <w:sz w:val="22"/>
                <w:szCs w:val="22"/>
              </w:rPr>
              <w:t xml:space="preserve">torage </w:t>
            </w:r>
            <w:r w:rsidR="00071ABC">
              <w:rPr>
                <w:sz w:val="22"/>
                <w:szCs w:val="22"/>
              </w:rPr>
              <w:t>p</w:t>
            </w:r>
            <w:r w:rsidRPr="00493C3F">
              <w:rPr>
                <w:sz w:val="22"/>
                <w:szCs w:val="22"/>
              </w:rPr>
              <w:t xml:space="preserve">olicy </w:t>
            </w:r>
          </w:p>
          <w:p w14:paraId="21224CA2" w14:textId="5FF884AB" w:rsidR="001F3F90" w:rsidRPr="00493C3F" w:rsidRDefault="00493C3F">
            <w:pPr>
              <w:pStyle w:val="Default"/>
              <w:numPr>
                <w:ilvl w:val="0"/>
                <w:numId w:val="27"/>
              </w:numPr>
              <w:rPr>
                <w:sz w:val="22"/>
                <w:szCs w:val="22"/>
              </w:rPr>
            </w:pPr>
            <w:r w:rsidRPr="00493C3F">
              <w:rPr>
                <w:sz w:val="22"/>
                <w:szCs w:val="22"/>
              </w:rPr>
              <w:t>Develop the department</w:t>
            </w:r>
            <w:r w:rsidR="00071ABC">
              <w:rPr>
                <w:sz w:val="22"/>
                <w:szCs w:val="22"/>
              </w:rPr>
              <w:t>'</w:t>
            </w:r>
            <w:r w:rsidRPr="00493C3F">
              <w:rPr>
                <w:sz w:val="22"/>
                <w:szCs w:val="22"/>
              </w:rPr>
              <w:t>s and/or office</w:t>
            </w:r>
            <w:r w:rsidR="00071ABC">
              <w:rPr>
                <w:sz w:val="22"/>
                <w:szCs w:val="22"/>
              </w:rPr>
              <w:t>'</w:t>
            </w:r>
            <w:r w:rsidRPr="00493C3F">
              <w:rPr>
                <w:sz w:val="22"/>
                <w:szCs w:val="22"/>
              </w:rPr>
              <w:t xml:space="preserve">s </w:t>
            </w:r>
            <w:r w:rsidR="00560576">
              <w:rPr>
                <w:sz w:val="22"/>
                <w:szCs w:val="22"/>
              </w:rPr>
              <w:t>data storage requirements</w:t>
            </w:r>
            <w:r w:rsidRPr="00493C3F">
              <w:rPr>
                <w:sz w:val="22"/>
                <w:szCs w:val="22"/>
              </w:rPr>
              <w:t xml:space="preserve">, consistent with this policy </w:t>
            </w:r>
          </w:p>
          <w:p w14:paraId="3BE2A025" w14:textId="77777777" w:rsidR="001F3F90" w:rsidRPr="00493C3F" w:rsidRDefault="00493C3F">
            <w:pPr>
              <w:pStyle w:val="Default"/>
              <w:numPr>
                <w:ilvl w:val="0"/>
                <w:numId w:val="27"/>
              </w:numPr>
              <w:rPr>
                <w:sz w:val="22"/>
                <w:szCs w:val="22"/>
              </w:rPr>
            </w:pPr>
            <w:r w:rsidRPr="00493C3F">
              <w:rPr>
                <w:sz w:val="22"/>
                <w:szCs w:val="22"/>
              </w:rPr>
              <w:t xml:space="preserve">Educate staff within the department </w:t>
            </w:r>
            <w:r w:rsidR="00365049">
              <w:rPr>
                <w:sz w:val="22"/>
                <w:szCs w:val="22"/>
              </w:rPr>
              <w:t xml:space="preserve">so they </w:t>
            </w:r>
            <w:r w:rsidRPr="00493C3F">
              <w:rPr>
                <w:sz w:val="22"/>
                <w:szCs w:val="22"/>
              </w:rPr>
              <w:t xml:space="preserve">understand </w:t>
            </w:r>
            <w:r w:rsidR="00560576">
              <w:rPr>
                <w:sz w:val="22"/>
                <w:szCs w:val="22"/>
              </w:rPr>
              <w:t xml:space="preserve">data storage </w:t>
            </w:r>
            <w:r w:rsidRPr="00493C3F">
              <w:rPr>
                <w:sz w:val="22"/>
                <w:szCs w:val="22"/>
              </w:rPr>
              <w:t xml:space="preserve">practices </w:t>
            </w:r>
          </w:p>
          <w:p w14:paraId="00267540" w14:textId="77777777" w:rsidR="001F3F90" w:rsidRPr="00493C3F" w:rsidRDefault="00560576">
            <w:pPr>
              <w:pStyle w:val="Default"/>
              <w:numPr>
                <w:ilvl w:val="0"/>
                <w:numId w:val="27"/>
              </w:numPr>
              <w:rPr>
                <w:sz w:val="22"/>
                <w:szCs w:val="22"/>
              </w:rPr>
            </w:pPr>
            <w:r>
              <w:rPr>
                <w:sz w:val="22"/>
                <w:szCs w:val="22"/>
              </w:rPr>
              <w:t xml:space="preserve">Define storage </w:t>
            </w:r>
            <w:r w:rsidR="00365049">
              <w:rPr>
                <w:sz w:val="22"/>
                <w:szCs w:val="22"/>
              </w:rPr>
              <w:t xml:space="preserve">requirements </w:t>
            </w:r>
            <w:r>
              <w:rPr>
                <w:sz w:val="22"/>
                <w:szCs w:val="22"/>
              </w:rPr>
              <w:t xml:space="preserve">for </w:t>
            </w:r>
            <w:r w:rsidR="00493C3F" w:rsidRPr="00493C3F">
              <w:rPr>
                <w:sz w:val="22"/>
                <w:szCs w:val="22"/>
              </w:rPr>
              <w:t xml:space="preserve">confidential </w:t>
            </w:r>
            <w:r>
              <w:rPr>
                <w:sz w:val="22"/>
                <w:szCs w:val="22"/>
              </w:rPr>
              <w:t xml:space="preserve">data </w:t>
            </w:r>
            <w:r w:rsidR="00365049">
              <w:rPr>
                <w:sz w:val="22"/>
                <w:szCs w:val="22"/>
              </w:rPr>
              <w:t>and information</w:t>
            </w:r>
          </w:p>
          <w:p w14:paraId="5E6CC881" w14:textId="77777777" w:rsidR="001F3F90" w:rsidRPr="00493C3F" w:rsidRDefault="001F3F90">
            <w:pPr>
              <w:rPr>
                <w:rFonts w:ascii="Times New Roman" w:hAnsi="Times New Roman" w:cs="Times New Roman"/>
              </w:rPr>
            </w:pPr>
          </w:p>
          <w:p w14:paraId="0E54D5CF" w14:textId="77777777" w:rsidR="001F3F90" w:rsidRPr="00493C3F" w:rsidRDefault="00493C3F">
            <w:pPr>
              <w:pStyle w:val="Default"/>
              <w:rPr>
                <w:sz w:val="22"/>
                <w:szCs w:val="22"/>
              </w:rPr>
            </w:pPr>
            <w:r w:rsidRPr="00493C3F">
              <w:rPr>
                <w:b/>
                <w:bCs/>
                <w:sz w:val="22"/>
                <w:szCs w:val="22"/>
              </w:rPr>
              <w:t xml:space="preserve">Confidentiality Requirement </w:t>
            </w:r>
          </w:p>
          <w:p w14:paraId="679B1900" w14:textId="4D5E7461" w:rsidR="001F3F90" w:rsidRPr="00493C3F" w:rsidRDefault="00493C3F">
            <w:pPr>
              <w:pStyle w:val="Default"/>
              <w:rPr>
                <w:sz w:val="22"/>
                <w:szCs w:val="22"/>
              </w:rPr>
            </w:pPr>
            <w:r w:rsidRPr="00493C3F">
              <w:rPr>
                <w:sz w:val="22"/>
                <w:szCs w:val="22"/>
              </w:rPr>
              <w:t xml:space="preserve">Some </w:t>
            </w:r>
            <w:r w:rsidR="00560576">
              <w:rPr>
                <w:sz w:val="22"/>
                <w:szCs w:val="22"/>
              </w:rPr>
              <w:t xml:space="preserve">&lt;company&gt; data and information </w:t>
            </w:r>
            <w:r w:rsidRPr="00493C3F">
              <w:rPr>
                <w:sz w:val="22"/>
                <w:szCs w:val="22"/>
              </w:rPr>
              <w:t xml:space="preserve">may contain nonpublic confidential data. Such </w:t>
            </w:r>
            <w:r w:rsidR="00560576">
              <w:rPr>
                <w:sz w:val="22"/>
                <w:szCs w:val="22"/>
              </w:rPr>
              <w:t xml:space="preserve">data and information </w:t>
            </w:r>
            <w:r w:rsidRPr="00493C3F">
              <w:rPr>
                <w:sz w:val="22"/>
                <w:szCs w:val="22"/>
              </w:rPr>
              <w:t>are protected by federal, state and local statutes, including the Gramm-Leach-Bliley</w:t>
            </w:r>
            <w:r>
              <w:rPr>
                <w:sz w:val="22"/>
                <w:szCs w:val="22"/>
              </w:rPr>
              <w:t xml:space="preserve"> Act</w:t>
            </w:r>
            <w:r w:rsidRPr="00493C3F">
              <w:rPr>
                <w:sz w:val="22"/>
                <w:szCs w:val="22"/>
              </w:rPr>
              <w:t xml:space="preserve">, the Health Insurance Portability and Accountability Act and </w:t>
            </w:r>
            <w:r>
              <w:rPr>
                <w:sz w:val="22"/>
                <w:szCs w:val="22"/>
              </w:rPr>
              <w:t>others</w:t>
            </w:r>
            <w:r w:rsidRPr="00493C3F">
              <w:rPr>
                <w:sz w:val="22"/>
                <w:szCs w:val="22"/>
              </w:rPr>
              <w:t xml:space="preserve">. In addition to statutory requirements, any confidential data should be </w:t>
            </w:r>
            <w:r w:rsidR="00560576">
              <w:rPr>
                <w:sz w:val="22"/>
                <w:szCs w:val="22"/>
              </w:rPr>
              <w:t xml:space="preserve">stored </w:t>
            </w:r>
            <w:r w:rsidRPr="00493C3F">
              <w:rPr>
                <w:sz w:val="22"/>
                <w:szCs w:val="22"/>
              </w:rPr>
              <w:t xml:space="preserve">in accordance with </w:t>
            </w:r>
            <w:r w:rsidR="00560576">
              <w:rPr>
                <w:sz w:val="22"/>
                <w:szCs w:val="22"/>
              </w:rPr>
              <w:t>&lt;</w:t>
            </w:r>
            <w:r w:rsidR="00071ABC">
              <w:rPr>
                <w:sz w:val="22"/>
                <w:szCs w:val="22"/>
              </w:rPr>
              <w:t xml:space="preserve">the </w:t>
            </w:r>
            <w:r w:rsidR="00560576">
              <w:rPr>
                <w:sz w:val="22"/>
                <w:szCs w:val="22"/>
              </w:rPr>
              <w:t>company</w:t>
            </w:r>
            <w:r w:rsidR="00071ABC">
              <w:rPr>
                <w:sz w:val="22"/>
                <w:szCs w:val="22"/>
              </w:rPr>
              <w:t>'</w:t>
            </w:r>
            <w:r w:rsidR="00560576">
              <w:rPr>
                <w:sz w:val="22"/>
                <w:szCs w:val="22"/>
              </w:rPr>
              <w:t xml:space="preserve">s&gt; </w:t>
            </w:r>
            <w:r w:rsidRPr="00493C3F">
              <w:rPr>
                <w:sz w:val="22"/>
                <w:szCs w:val="22"/>
              </w:rPr>
              <w:t xml:space="preserve">privacy and security policies. </w:t>
            </w:r>
          </w:p>
          <w:p w14:paraId="441AF4AF" w14:textId="77777777" w:rsidR="001F3F90" w:rsidRPr="00493C3F" w:rsidRDefault="001F3F90">
            <w:pPr>
              <w:pStyle w:val="Default"/>
              <w:pageBreakBefore/>
              <w:ind w:left="720" w:hanging="360"/>
              <w:rPr>
                <w:sz w:val="22"/>
                <w:szCs w:val="22"/>
              </w:rPr>
            </w:pPr>
          </w:p>
          <w:p w14:paraId="5929B5B0" w14:textId="77777777" w:rsidR="001F3F90" w:rsidRPr="00493C3F" w:rsidRDefault="00493C3F">
            <w:pPr>
              <w:pStyle w:val="Default"/>
              <w:pageBreakBefore/>
              <w:rPr>
                <w:b/>
                <w:bCs/>
                <w:sz w:val="22"/>
                <w:szCs w:val="22"/>
              </w:rPr>
            </w:pPr>
            <w:r w:rsidRPr="00493C3F">
              <w:rPr>
                <w:b/>
                <w:bCs/>
                <w:sz w:val="22"/>
                <w:szCs w:val="22"/>
              </w:rPr>
              <w:t xml:space="preserve">Electronically Stored Information </w:t>
            </w:r>
          </w:p>
          <w:p w14:paraId="302C1228" w14:textId="61F6FAF6" w:rsidR="001F3F90" w:rsidRDefault="00560576">
            <w:pPr>
              <w:pStyle w:val="Default"/>
              <w:pageBreakBefore/>
              <w:rPr>
                <w:sz w:val="22"/>
                <w:szCs w:val="22"/>
              </w:rPr>
            </w:pPr>
            <w:r>
              <w:rPr>
                <w:bCs/>
                <w:sz w:val="22"/>
                <w:szCs w:val="22"/>
              </w:rPr>
              <w:t xml:space="preserve">&lt;Company&gt; </w:t>
            </w:r>
            <w:r w:rsidR="00493C3F" w:rsidRPr="00493C3F">
              <w:rPr>
                <w:bCs/>
                <w:sz w:val="22"/>
                <w:szCs w:val="22"/>
              </w:rPr>
              <w:t>depends on</w:t>
            </w:r>
            <w:r w:rsidR="00493C3F" w:rsidRPr="00493C3F">
              <w:rPr>
                <w:b/>
                <w:bCs/>
                <w:sz w:val="22"/>
                <w:szCs w:val="22"/>
              </w:rPr>
              <w:t xml:space="preserve"> </w:t>
            </w:r>
            <w:r w:rsidR="00493C3F" w:rsidRPr="00493C3F">
              <w:rPr>
                <w:sz w:val="22"/>
                <w:szCs w:val="22"/>
              </w:rPr>
              <w:t xml:space="preserve">the use and availability of electronically stored information (ESI). The ease with which ESI may be created, the </w:t>
            </w:r>
            <w:r w:rsidR="0009519A">
              <w:rPr>
                <w:sz w:val="22"/>
                <w:szCs w:val="22"/>
              </w:rPr>
              <w:t xml:space="preserve">technology </w:t>
            </w:r>
            <w:r w:rsidR="00493C3F" w:rsidRPr="00493C3F">
              <w:rPr>
                <w:sz w:val="22"/>
                <w:szCs w:val="22"/>
              </w:rPr>
              <w:t xml:space="preserve">where ESI may be stored, and rules regarding the use of ESI in litigation all require that </w:t>
            </w:r>
            <w:r>
              <w:rPr>
                <w:sz w:val="22"/>
                <w:szCs w:val="22"/>
              </w:rPr>
              <w:t xml:space="preserve">&lt;company&gt; </w:t>
            </w:r>
            <w:r w:rsidR="00493C3F" w:rsidRPr="00493C3F">
              <w:rPr>
                <w:sz w:val="22"/>
                <w:szCs w:val="22"/>
              </w:rPr>
              <w:t>manage</w:t>
            </w:r>
            <w:r w:rsidR="005168F9">
              <w:rPr>
                <w:sz w:val="22"/>
                <w:szCs w:val="22"/>
              </w:rPr>
              <w:t>s</w:t>
            </w:r>
            <w:r w:rsidR="00493C3F" w:rsidRPr="00493C3F">
              <w:rPr>
                <w:sz w:val="22"/>
                <w:szCs w:val="22"/>
              </w:rPr>
              <w:t xml:space="preserve"> its </w:t>
            </w:r>
            <w:r w:rsidR="00365049">
              <w:rPr>
                <w:sz w:val="22"/>
                <w:szCs w:val="22"/>
              </w:rPr>
              <w:t xml:space="preserve">data storage activities </w:t>
            </w:r>
            <w:r w:rsidR="00493C3F" w:rsidRPr="00493C3F">
              <w:rPr>
                <w:sz w:val="22"/>
                <w:szCs w:val="22"/>
              </w:rPr>
              <w:t xml:space="preserve">efficiently and consistent with its legal obligations. Accordingly, all departments must include ESI in the development of their </w:t>
            </w:r>
            <w:r w:rsidR="00365049">
              <w:rPr>
                <w:sz w:val="22"/>
                <w:szCs w:val="22"/>
              </w:rPr>
              <w:t>data storage requirements</w:t>
            </w:r>
            <w:r w:rsidR="00493C3F" w:rsidRPr="00493C3F">
              <w:rPr>
                <w:sz w:val="22"/>
                <w:szCs w:val="22"/>
              </w:rPr>
              <w:t xml:space="preserve">. </w:t>
            </w:r>
          </w:p>
          <w:p w14:paraId="25C14D9E" w14:textId="77777777" w:rsidR="006025DD" w:rsidRDefault="006025DD">
            <w:pPr>
              <w:pStyle w:val="Default"/>
              <w:pageBreakBefore/>
              <w:rPr>
                <w:sz w:val="22"/>
                <w:szCs w:val="22"/>
              </w:rPr>
            </w:pPr>
          </w:p>
          <w:p w14:paraId="03CB6C03" w14:textId="77777777" w:rsidR="006025DD" w:rsidRPr="006025DD" w:rsidRDefault="006025DD">
            <w:pPr>
              <w:pStyle w:val="Default"/>
              <w:pageBreakBefore/>
              <w:rPr>
                <w:b/>
                <w:sz w:val="22"/>
                <w:szCs w:val="22"/>
              </w:rPr>
            </w:pPr>
            <w:r w:rsidRPr="006025DD">
              <w:rPr>
                <w:b/>
                <w:sz w:val="22"/>
                <w:szCs w:val="22"/>
              </w:rPr>
              <w:t>Non-Electronic Information Storage</w:t>
            </w:r>
          </w:p>
          <w:p w14:paraId="2DFB58C0" w14:textId="28933C58" w:rsidR="006025DD" w:rsidRDefault="006025DD">
            <w:pPr>
              <w:pStyle w:val="Default"/>
              <w:pageBreakBefore/>
              <w:rPr>
                <w:sz w:val="22"/>
                <w:szCs w:val="22"/>
              </w:rPr>
            </w:pPr>
            <w:r>
              <w:rPr>
                <w:sz w:val="22"/>
                <w:szCs w:val="22"/>
              </w:rPr>
              <w:t>&lt;Company&gt; stores important hard-copy documents in secure, fire-protected storage containers, whether located on</w:t>
            </w:r>
            <w:r w:rsidR="005168F9">
              <w:rPr>
                <w:sz w:val="22"/>
                <w:szCs w:val="22"/>
              </w:rPr>
              <w:t xml:space="preserve"> </w:t>
            </w:r>
            <w:r>
              <w:rPr>
                <w:sz w:val="22"/>
                <w:szCs w:val="22"/>
              </w:rPr>
              <w:t>site or in secure remote storage facilities. The point at which such information is to be placed into storage and the type of storage to be used are determined by the document</w:t>
            </w:r>
            <w:r w:rsidR="00071ABC">
              <w:rPr>
                <w:sz w:val="22"/>
                <w:szCs w:val="22"/>
              </w:rPr>
              <w:t>'</w:t>
            </w:r>
            <w:r>
              <w:rPr>
                <w:sz w:val="22"/>
                <w:szCs w:val="22"/>
              </w:rPr>
              <w:t xml:space="preserve">s user(s), in collaboration with the </w:t>
            </w:r>
            <w:r w:rsidR="00071ABC">
              <w:rPr>
                <w:sz w:val="22"/>
                <w:szCs w:val="22"/>
              </w:rPr>
              <w:t>d</w:t>
            </w:r>
            <w:r>
              <w:rPr>
                <w:sz w:val="22"/>
                <w:szCs w:val="22"/>
              </w:rPr>
              <w:t xml:space="preserve">ata </w:t>
            </w:r>
            <w:r w:rsidR="00071ABC">
              <w:rPr>
                <w:sz w:val="22"/>
                <w:szCs w:val="22"/>
              </w:rPr>
              <w:t>s</w:t>
            </w:r>
            <w:r>
              <w:rPr>
                <w:sz w:val="22"/>
                <w:szCs w:val="22"/>
              </w:rPr>
              <w:t xml:space="preserve">torage </w:t>
            </w:r>
            <w:r w:rsidR="00071ABC">
              <w:rPr>
                <w:sz w:val="22"/>
                <w:szCs w:val="22"/>
              </w:rPr>
              <w:t>m</w:t>
            </w:r>
            <w:r>
              <w:rPr>
                <w:sz w:val="22"/>
                <w:szCs w:val="22"/>
              </w:rPr>
              <w:t xml:space="preserve">anager and/or </w:t>
            </w:r>
            <w:r w:rsidR="00071ABC">
              <w:rPr>
                <w:sz w:val="22"/>
                <w:szCs w:val="22"/>
              </w:rPr>
              <w:t>r</w:t>
            </w:r>
            <w:r>
              <w:rPr>
                <w:sz w:val="22"/>
                <w:szCs w:val="22"/>
              </w:rPr>
              <w:t xml:space="preserve">ecords </w:t>
            </w:r>
            <w:r w:rsidR="00071ABC">
              <w:rPr>
                <w:sz w:val="22"/>
                <w:szCs w:val="22"/>
              </w:rPr>
              <w:t>m</w:t>
            </w:r>
            <w:r>
              <w:rPr>
                <w:sz w:val="22"/>
                <w:szCs w:val="22"/>
              </w:rPr>
              <w:t xml:space="preserve">anager. </w:t>
            </w:r>
          </w:p>
          <w:p w14:paraId="1E88974B" w14:textId="77777777" w:rsidR="006025DD" w:rsidRPr="00493C3F" w:rsidRDefault="006025DD">
            <w:pPr>
              <w:pStyle w:val="Default"/>
              <w:pageBreakBefore/>
              <w:rPr>
                <w:sz w:val="22"/>
                <w:szCs w:val="22"/>
              </w:rPr>
            </w:pPr>
          </w:p>
          <w:p w14:paraId="7920CE0B" w14:textId="77777777" w:rsidR="001F3F90" w:rsidRPr="00493C3F" w:rsidRDefault="0094540F">
            <w:pPr>
              <w:pStyle w:val="Default"/>
              <w:pageBreakBefore/>
              <w:rPr>
                <w:sz w:val="22"/>
                <w:szCs w:val="22"/>
              </w:rPr>
            </w:pPr>
            <w:r>
              <w:rPr>
                <w:b/>
                <w:bCs/>
                <w:sz w:val="22"/>
                <w:szCs w:val="22"/>
              </w:rPr>
              <w:t xml:space="preserve">Storage </w:t>
            </w:r>
            <w:r w:rsidR="00493C3F" w:rsidRPr="00493C3F">
              <w:rPr>
                <w:b/>
                <w:bCs/>
                <w:sz w:val="22"/>
                <w:szCs w:val="22"/>
              </w:rPr>
              <w:t xml:space="preserve">of </w:t>
            </w:r>
            <w:r>
              <w:rPr>
                <w:b/>
                <w:bCs/>
                <w:sz w:val="22"/>
                <w:szCs w:val="22"/>
              </w:rPr>
              <w:t xml:space="preserve">Data and Information </w:t>
            </w:r>
            <w:r w:rsidR="00493C3F" w:rsidRPr="00493C3F">
              <w:rPr>
                <w:b/>
                <w:bCs/>
                <w:sz w:val="22"/>
                <w:szCs w:val="22"/>
              </w:rPr>
              <w:t xml:space="preserve">Relevant to Legal Matters </w:t>
            </w:r>
          </w:p>
          <w:p w14:paraId="7A8D65DE" w14:textId="0C86A2DA" w:rsidR="001F3F90" w:rsidRPr="00493C3F" w:rsidRDefault="00493C3F">
            <w:pPr>
              <w:rPr>
                <w:rFonts w:ascii="Times New Roman" w:hAnsi="Times New Roman" w:cs="Times New Roman"/>
              </w:rPr>
            </w:pPr>
            <w:r w:rsidRPr="00493C3F">
              <w:rPr>
                <w:rFonts w:ascii="Times New Roman" w:hAnsi="Times New Roman" w:cs="Times New Roman"/>
              </w:rPr>
              <w:t xml:space="preserve">Any </w:t>
            </w:r>
            <w:r w:rsidR="0094540F">
              <w:rPr>
                <w:rFonts w:ascii="Times New Roman" w:hAnsi="Times New Roman" w:cs="Times New Roman"/>
              </w:rPr>
              <w:t xml:space="preserve">data </w:t>
            </w:r>
            <w:r w:rsidRPr="00493C3F">
              <w:rPr>
                <w:rFonts w:ascii="Times New Roman" w:hAnsi="Times New Roman" w:cs="Times New Roman"/>
              </w:rPr>
              <w:t xml:space="preserve">record </w:t>
            </w:r>
            <w:r w:rsidR="0094540F">
              <w:rPr>
                <w:rFonts w:ascii="Times New Roman" w:hAnsi="Times New Roman" w:cs="Times New Roman"/>
              </w:rPr>
              <w:t xml:space="preserve">and other information </w:t>
            </w:r>
            <w:r w:rsidRPr="00493C3F">
              <w:rPr>
                <w:rFonts w:ascii="Times New Roman" w:hAnsi="Times New Roman" w:cs="Times New Roman"/>
              </w:rPr>
              <w:t xml:space="preserve">that is relevant to any pending or anticipated litigation, claim, audit, agency charge, investigation or enforcement action shall be </w:t>
            </w:r>
            <w:r w:rsidR="0094540F">
              <w:rPr>
                <w:rFonts w:ascii="Times New Roman" w:hAnsi="Times New Roman" w:cs="Times New Roman"/>
              </w:rPr>
              <w:t xml:space="preserve">securely stored and </w:t>
            </w:r>
            <w:r w:rsidRPr="00493C3F">
              <w:rPr>
                <w:rFonts w:ascii="Times New Roman" w:hAnsi="Times New Roman" w:cs="Times New Roman"/>
              </w:rPr>
              <w:t xml:space="preserve">retained at least until final resolution of the matter. In these circumstances, the </w:t>
            </w:r>
            <w:r w:rsidR="0094540F">
              <w:rPr>
                <w:rFonts w:ascii="Times New Roman" w:hAnsi="Times New Roman" w:cs="Times New Roman"/>
              </w:rPr>
              <w:t xml:space="preserve">&lt;company&gt; </w:t>
            </w:r>
            <w:r w:rsidR="00071ABC">
              <w:rPr>
                <w:rFonts w:ascii="Times New Roman" w:hAnsi="Times New Roman" w:cs="Times New Roman"/>
              </w:rPr>
              <w:t>g</w:t>
            </w:r>
            <w:r w:rsidRPr="00493C3F">
              <w:rPr>
                <w:rFonts w:ascii="Times New Roman" w:hAnsi="Times New Roman" w:cs="Times New Roman"/>
              </w:rPr>
              <w:t xml:space="preserve">eneral </w:t>
            </w:r>
            <w:r w:rsidR="00071ABC">
              <w:rPr>
                <w:rFonts w:ascii="Times New Roman" w:hAnsi="Times New Roman" w:cs="Times New Roman"/>
              </w:rPr>
              <w:t>c</w:t>
            </w:r>
            <w:r w:rsidRPr="00493C3F">
              <w:rPr>
                <w:rFonts w:ascii="Times New Roman" w:hAnsi="Times New Roman" w:cs="Times New Roman"/>
              </w:rPr>
              <w:t xml:space="preserve">ounsel will notify relevant departments and work with staff to identify and </w:t>
            </w:r>
            <w:r w:rsidR="0094540F">
              <w:rPr>
                <w:rFonts w:ascii="Times New Roman" w:hAnsi="Times New Roman" w:cs="Times New Roman"/>
              </w:rPr>
              <w:t xml:space="preserve">store </w:t>
            </w:r>
            <w:r w:rsidRPr="00493C3F">
              <w:rPr>
                <w:rFonts w:ascii="Times New Roman" w:hAnsi="Times New Roman" w:cs="Times New Roman"/>
              </w:rPr>
              <w:t xml:space="preserve">records (including electronic records) </w:t>
            </w:r>
            <w:r w:rsidRPr="00493C3F">
              <w:rPr>
                <w:rFonts w:ascii="Times New Roman" w:hAnsi="Times New Roman" w:cs="Times New Roman"/>
              </w:rPr>
              <w:lastRenderedPageBreak/>
              <w:t xml:space="preserve">and other information that could be relevant to the </w:t>
            </w:r>
            <w:r w:rsidR="0094540F">
              <w:rPr>
                <w:rFonts w:ascii="Times New Roman" w:hAnsi="Times New Roman" w:cs="Times New Roman"/>
              </w:rPr>
              <w:t>litigation</w:t>
            </w:r>
            <w:r w:rsidRPr="00493C3F">
              <w:rPr>
                <w:rFonts w:ascii="Times New Roman" w:hAnsi="Times New Roman" w:cs="Times New Roman"/>
              </w:rPr>
              <w:t>. Employees who become aware that an investigation or legal proceeding has commenced or is anticipated against their department or unit promptly must notify the</w:t>
            </w:r>
            <w:r w:rsidR="00AB7214">
              <w:rPr>
                <w:rFonts w:ascii="Times New Roman" w:hAnsi="Times New Roman" w:cs="Times New Roman"/>
              </w:rPr>
              <w:t>ir</w:t>
            </w:r>
            <w:r w:rsidRPr="00493C3F">
              <w:rPr>
                <w:rFonts w:ascii="Times New Roman" w:hAnsi="Times New Roman" w:cs="Times New Roman"/>
              </w:rPr>
              <w:t xml:space="preserve"> </w:t>
            </w:r>
            <w:r w:rsidR="0094540F">
              <w:rPr>
                <w:rFonts w:ascii="Times New Roman" w:hAnsi="Times New Roman" w:cs="Times New Roman"/>
              </w:rPr>
              <w:t xml:space="preserve">&lt;company&gt; </w:t>
            </w:r>
            <w:r w:rsidR="00AB7214">
              <w:rPr>
                <w:rFonts w:ascii="Times New Roman" w:hAnsi="Times New Roman" w:cs="Times New Roman"/>
              </w:rPr>
              <w:t xml:space="preserve">department leadership and/or </w:t>
            </w:r>
            <w:r w:rsidR="00071ABC">
              <w:rPr>
                <w:rFonts w:ascii="Times New Roman" w:hAnsi="Times New Roman" w:cs="Times New Roman"/>
              </w:rPr>
              <w:t>g</w:t>
            </w:r>
            <w:r w:rsidRPr="00493C3F">
              <w:rPr>
                <w:rFonts w:ascii="Times New Roman" w:hAnsi="Times New Roman" w:cs="Times New Roman"/>
              </w:rPr>
              <w:t xml:space="preserve">eneral </w:t>
            </w:r>
            <w:r w:rsidR="00071ABC">
              <w:rPr>
                <w:rFonts w:ascii="Times New Roman" w:hAnsi="Times New Roman" w:cs="Times New Roman"/>
              </w:rPr>
              <w:t>c</w:t>
            </w:r>
            <w:r w:rsidRPr="00493C3F">
              <w:rPr>
                <w:rFonts w:ascii="Times New Roman" w:hAnsi="Times New Roman" w:cs="Times New Roman"/>
              </w:rPr>
              <w:t xml:space="preserve">ounsel so that all records with potential relevance to the investigation or legal proceeding can be </w:t>
            </w:r>
            <w:r w:rsidR="0094540F">
              <w:rPr>
                <w:rFonts w:ascii="Times New Roman" w:hAnsi="Times New Roman" w:cs="Times New Roman"/>
              </w:rPr>
              <w:t xml:space="preserve">stored </w:t>
            </w:r>
            <w:r w:rsidRPr="00493C3F">
              <w:rPr>
                <w:rFonts w:ascii="Times New Roman" w:hAnsi="Times New Roman" w:cs="Times New Roman"/>
              </w:rPr>
              <w:t>as necessary.</w:t>
            </w:r>
            <w:r>
              <w:rPr>
                <w:rFonts w:ascii="Times New Roman" w:hAnsi="Times New Roman" w:cs="Times New Roman"/>
              </w:rPr>
              <w:t xml:space="preserve"> </w:t>
            </w:r>
          </w:p>
          <w:p w14:paraId="1D89E8D1" w14:textId="77777777" w:rsidR="001F3F90" w:rsidRPr="00493C3F" w:rsidRDefault="001F3F90">
            <w:pPr>
              <w:rPr>
                <w:rFonts w:ascii="Times New Roman" w:hAnsi="Times New Roman" w:cs="Times New Roman"/>
              </w:rPr>
            </w:pPr>
          </w:p>
          <w:p w14:paraId="4EB55472" w14:textId="77777777" w:rsidR="0094540F" w:rsidRDefault="00493C3F">
            <w:pPr>
              <w:pStyle w:val="Default"/>
              <w:rPr>
                <w:b/>
                <w:bCs/>
                <w:sz w:val="22"/>
                <w:szCs w:val="22"/>
              </w:rPr>
            </w:pPr>
            <w:r w:rsidRPr="00493C3F">
              <w:rPr>
                <w:b/>
                <w:bCs/>
                <w:sz w:val="22"/>
                <w:szCs w:val="22"/>
              </w:rPr>
              <w:t xml:space="preserve">Disposal and Destruction of </w:t>
            </w:r>
            <w:r w:rsidR="0094540F">
              <w:rPr>
                <w:b/>
                <w:bCs/>
                <w:sz w:val="22"/>
                <w:szCs w:val="22"/>
              </w:rPr>
              <w:t xml:space="preserve">Stored Data and Information </w:t>
            </w:r>
          </w:p>
          <w:p w14:paraId="1D756DF0" w14:textId="245BF7DE" w:rsidR="0094540F" w:rsidRDefault="0094540F">
            <w:pPr>
              <w:pStyle w:val="Default"/>
              <w:rPr>
                <w:bCs/>
                <w:sz w:val="22"/>
                <w:szCs w:val="22"/>
              </w:rPr>
            </w:pPr>
            <w:r>
              <w:rPr>
                <w:bCs/>
                <w:sz w:val="22"/>
                <w:szCs w:val="22"/>
              </w:rPr>
              <w:t>The company</w:t>
            </w:r>
            <w:r w:rsidR="00071ABC">
              <w:rPr>
                <w:bCs/>
                <w:sz w:val="22"/>
                <w:szCs w:val="22"/>
              </w:rPr>
              <w:t>'</w:t>
            </w:r>
            <w:r>
              <w:rPr>
                <w:bCs/>
                <w:sz w:val="22"/>
                <w:szCs w:val="22"/>
              </w:rPr>
              <w:t xml:space="preserve">s </w:t>
            </w:r>
            <w:r w:rsidR="00071ABC">
              <w:rPr>
                <w:bCs/>
                <w:sz w:val="22"/>
                <w:szCs w:val="22"/>
              </w:rPr>
              <w:t>d</w:t>
            </w:r>
            <w:r>
              <w:rPr>
                <w:bCs/>
                <w:sz w:val="22"/>
                <w:szCs w:val="22"/>
              </w:rPr>
              <w:t xml:space="preserve">ata </w:t>
            </w:r>
            <w:r w:rsidR="00071ABC">
              <w:rPr>
                <w:bCs/>
                <w:sz w:val="22"/>
                <w:szCs w:val="22"/>
              </w:rPr>
              <w:t>r</w:t>
            </w:r>
            <w:r>
              <w:rPr>
                <w:bCs/>
                <w:sz w:val="22"/>
                <w:szCs w:val="22"/>
              </w:rPr>
              <w:t xml:space="preserve">etention </w:t>
            </w:r>
            <w:r w:rsidR="00071ABC">
              <w:rPr>
                <w:bCs/>
                <w:sz w:val="22"/>
                <w:szCs w:val="22"/>
              </w:rPr>
              <w:t>p</w:t>
            </w:r>
            <w:r>
              <w:rPr>
                <w:bCs/>
                <w:sz w:val="22"/>
                <w:szCs w:val="22"/>
              </w:rPr>
              <w:t xml:space="preserve">olicy and/or </w:t>
            </w:r>
            <w:r w:rsidR="00071ABC">
              <w:rPr>
                <w:bCs/>
                <w:sz w:val="22"/>
                <w:szCs w:val="22"/>
              </w:rPr>
              <w:t>r</w:t>
            </w:r>
            <w:r>
              <w:rPr>
                <w:bCs/>
                <w:sz w:val="22"/>
                <w:szCs w:val="22"/>
              </w:rPr>
              <w:t xml:space="preserve">ecords </w:t>
            </w:r>
            <w:r w:rsidR="00071ABC">
              <w:rPr>
                <w:bCs/>
                <w:sz w:val="22"/>
                <w:szCs w:val="22"/>
              </w:rPr>
              <w:t>m</w:t>
            </w:r>
            <w:r>
              <w:rPr>
                <w:bCs/>
                <w:sz w:val="22"/>
                <w:szCs w:val="22"/>
              </w:rPr>
              <w:t xml:space="preserve">anagement </w:t>
            </w:r>
            <w:r w:rsidR="00071ABC">
              <w:rPr>
                <w:bCs/>
                <w:sz w:val="22"/>
                <w:szCs w:val="22"/>
              </w:rPr>
              <w:t>p</w:t>
            </w:r>
            <w:r>
              <w:rPr>
                <w:bCs/>
                <w:sz w:val="22"/>
                <w:szCs w:val="22"/>
              </w:rPr>
              <w:t xml:space="preserve">olicy will govern the circumstances under which stored data and information can be disposed of and destroyed.  </w:t>
            </w:r>
          </w:p>
          <w:p w14:paraId="3D073F78" w14:textId="77777777" w:rsidR="001F3F90" w:rsidRPr="00493C3F" w:rsidRDefault="001F3F90" w:rsidP="0094540F">
            <w:pPr>
              <w:pStyle w:val="Default"/>
            </w:pPr>
          </w:p>
        </w:tc>
      </w:tr>
      <w:tr w:rsidR="00493C3F" w:rsidRPr="00BE136F" w14:paraId="3B4ABB33" w14:textId="77777777" w:rsidTr="00900E81">
        <w:tc>
          <w:tcPr>
            <w:tcW w:w="9350" w:type="dxa"/>
            <w:gridSpan w:val="2"/>
            <w:tcBorders>
              <w:left w:val="single" w:sz="4" w:space="0" w:color="auto"/>
              <w:right w:val="single" w:sz="4" w:space="0" w:color="auto"/>
            </w:tcBorders>
          </w:tcPr>
          <w:p w14:paraId="4BEC0579" w14:textId="77777777" w:rsidR="00493C3F" w:rsidRPr="00BE136F" w:rsidRDefault="00493C3F" w:rsidP="00346CAF">
            <w:pPr>
              <w:rPr>
                <w:rFonts w:ascii="Times New Roman" w:hAnsi="Times New Roman" w:cs="Times New Roman"/>
                <w:b/>
              </w:rPr>
            </w:pPr>
            <w:r>
              <w:rPr>
                <w:rFonts w:ascii="Times New Roman" w:hAnsi="Times New Roman" w:cs="Times New Roman"/>
                <w:b/>
              </w:rPr>
              <w:lastRenderedPageBreak/>
              <w:t>Enforcement</w:t>
            </w:r>
          </w:p>
          <w:p w14:paraId="389AD291" w14:textId="77777777" w:rsidR="00493C3F" w:rsidRPr="00BE136F" w:rsidRDefault="00493C3F" w:rsidP="00346CAF">
            <w:pPr>
              <w:rPr>
                <w:rFonts w:ascii="Times New Roman" w:hAnsi="Times New Roman" w:cs="Times New Roman"/>
              </w:rPr>
            </w:pPr>
          </w:p>
          <w:p w14:paraId="268CD5D3" w14:textId="01C3B743" w:rsidR="00493C3F" w:rsidRPr="00BE136F" w:rsidRDefault="00AB7214" w:rsidP="00346CAF">
            <w:pPr>
              <w:rPr>
                <w:rFonts w:ascii="Times New Roman" w:hAnsi="Times New Roman" w:cs="Times New Roman"/>
              </w:rPr>
            </w:pPr>
            <w:r>
              <w:rPr>
                <w:rFonts w:ascii="Times New Roman" w:hAnsi="Times New Roman" w:cs="Times New Roman"/>
              </w:rPr>
              <w:t xml:space="preserve">&lt;Company&gt; </w:t>
            </w:r>
            <w:r w:rsidR="00493C3F" w:rsidRPr="00BE136F">
              <w:rPr>
                <w:rFonts w:ascii="Times New Roman" w:hAnsi="Times New Roman" w:cs="Times New Roman"/>
              </w:rPr>
              <w:t>employees</w:t>
            </w:r>
            <w:r w:rsidR="00493C3F">
              <w:rPr>
                <w:rFonts w:ascii="Times New Roman" w:hAnsi="Times New Roman" w:cs="Times New Roman"/>
              </w:rPr>
              <w:t xml:space="preserve">, vendors and others </w:t>
            </w:r>
            <w:r w:rsidR="00493C3F" w:rsidRPr="00BE136F">
              <w:rPr>
                <w:rFonts w:ascii="Times New Roman" w:hAnsi="Times New Roman" w:cs="Times New Roman"/>
              </w:rPr>
              <w:t xml:space="preserve">who do not comply with this policy and the procedures that may be developed from it are subject to possible disciplinary measures including termination of employment as may be determined by </w:t>
            </w:r>
            <w:r>
              <w:rPr>
                <w:rFonts w:ascii="Times New Roman" w:hAnsi="Times New Roman" w:cs="Times New Roman"/>
              </w:rPr>
              <w:t>&lt;company</w:t>
            </w:r>
            <w:r w:rsidR="00071ABC">
              <w:rPr>
                <w:rFonts w:ascii="Times New Roman" w:hAnsi="Times New Roman" w:cs="Times New Roman"/>
              </w:rPr>
              <w:t>'</w:t>
            </w:r>
            <w:r>
              <w:rPr>
                <w:rFonts w:ascii="Times New Roman" w:hAnsi="Times New Roman" w:cs="Times New Roman"/>
              </w:rPr>
              <w:t xml:space="preserve">s&gt; senior management, department leadership, </w:t>
            </w:r>
            <w:r w:rsidR="00071ABC">
              <w:rPr>
                <w:rFonts w:ascii="Times New Roman" w:hAnsi="Times New Roman" w:cs="Times New Roman"/>
              </w:rPr>
              <w:t>c</w:t>
            </w:r>
            <w:r w:rsidR="00493C3F">
              <w:rPr>
                <w:rFonts w:ascii="Times New Roman" w:hAnsi="Times New Roman" w:cs="Times New Roman"/>
              </w:rPr>
              <w:t xml:space="preserve">hief </w:t>
            </w:r>
            <w:r w:rsidR="00071ABC">
              <w:rPr>
                <w:rFonts w:ascii="Times New Roman" w:hAnsi="Times New Roman" w:cs="Times New Roman"/>
              </w:rPr>
              <w:t>i</w:t>
            </w:r>
            <w:r>
              <w:rPr>
                <w:rFonts w:ascii="Times New Roman" w:hAnsi="Times New Roman" w:cs="Times New Roman"/>
              </w:rPr>
              <w:t xml:space="preserve">nformation </w:t>
            </w:r>
            <w:r w:rsidR="00071ABC">
              <w:rPr>
                <w:rFonts w:ascii="Times New Roman" w:hAnsi="Times New Roman" w:cs="Times New Roman"/>
              </w:rPr>
              <w:t>o</w:t>
            </w:r>
            <w:r w:rsidR="00493C3F">
              <w:rPr>
                <w:rFonts w:ascii="Times New Roman" w:hAnsi="Times New Roman" w:cs="Times New Roman"/>
              </w:rPr>
              <w:t xml:space="preserve">fficer </w:t>
            </w:r>
            <w:r w:rsidR="00493C3F" w:rsidRPr="00BE136F">
              <w:rPr>
                <w:rFonts w:ascii="Times New Roman" w:hAnsi="Times New Roman" w:cs="Times New Roman"/>
              </w:rPr>
              <w:t>and/o</w:t>
            </w:r>
            <w:r w:rsidR="00493C3F">
              <w:rPr>
                <w:rFonts w:ascii="Times New Roman" w:hAnsi="Times New Roman" w:cs="Times New Roman"/>
              </w:rPr>
              <w:t xml:space="preserve">r </w:t>
            </w:r>
            <w:r w:rsidR="00071ABC">
              <w:rPr>
                <w:rFonts w:ascii="Times New Roman" w:hAnsi="Times New Roman" w:cs="Times New Roman"/>
              </w:rPr>
              <w:t>h</w:t>
            </w:r>
            <w:r w:rsidR="00493C3F">
              <w:rPr>
                <w:rFonts w:ascii="Times New Roman" w:hAnsi="Times New Roman" w:cs="Times New Roman"/>
              </w:rPr>
              <w:t xml:space="preserve">uman </w:t>
            </w:r>
            <w:r w:rsidR="00071ABC">
              <w:rPr>
                <w:rFonts w:ascii="Times New Roman" w:hAnsi="Times New Roman" w:cs="Times New Roman"/>
              </w:rPr>
              <w:t>r</w:t>
            </w:r>
            <w:r w:rsidR="00493C3F">
              <w:rPr>
                <w:rFonts w:ascii="Times New Roman" w:hAnsi="Times New Roman" w:cs="Times New Roman"/>
              </w:rPr>
              <w:t xml:space="preserve">esources departments. </w:t>
            </w:r>
          </w:p>
          <w:p w14:paraId="03F3CEA1" w14:textId="77777777" w:rsidR="00493C3F" w:rsidRPr="00BE136F" w:rsidRDefault="00493C3F" w:rsidP="00346CAF">
            <w:pPr>
              <w:autoSpaceDE w:val="0"/>
              <w:autoSpaceDN w:val="0"/>
              <w:adjustRightInd w:val="0"/>
              <w:rPr>
                <w:rFonts w:ascii="Times New Roman" w:hAnsi="Times New Roman" w:cs="Times New Roman"/>
              </w:rPr>
            </w:pPr>
          </w:p>
        </w:tc>
      </w:tr>
      <w:tr w:rsidR="001F3F90" w14:paraId="5F0ECF3A" w14:textId="77777777" w:rsidTr="00900E81">
        <w:tc>
          <w:tcPr>
            <w:tcW w:w="9350" w:type="dxa"/>
            <w:gridSpan w:val="2"/>
          </w:tcPr>
          <w:p w14:paraId="3CFC5CA8" w14:textId="77777777" w:rsidR="001F3F90" w:rsidRPr="00493C3F" w:rsidRDefault="00493C3F">
            <w:pPr>
              <w:autoSpaceDE w:val="0"/>
              <w:autoSpaceDN w:val="0"/>
              <w:adjustRightInd w:val="0"/>
              <w:rPr>
                <w:rFonts w:ascii="Times New Roman" w:hAnsi="Times New Roman" w:cs="Times New Roman"/>
                <w:b/>
              </w:rPr>
            </w:pPr>
            <w:r w:rsidRPr="00493C3F">
              <w:rPr>
                <w:rFonts w:ascii="Times New Roman" w:hAnsi="Times New Roman" w:cs="Times New Roman"/>
                <w:b/>
              </w:rPr>
              <w:t>Management Review</w:t>
            </w:r>
          </w:p>
          <w:p w14:paraId="387B7DA9" w14:textId="77777777" w:rsidR="001F3F90" w:rsidRPr="00493C3F" w:rsidRDefault="001F3F90">
            <w:pPr>
              <w:autoSpaceDE w:val="0"/>
              <w:autoSpaceDN w:val="0"/>
              <w:adjustRightInd w:val="0"/>
              <w:rPr>
                <w:rFonts w:ascii="Times New Roman" w:hAnsi="Times New Roman" w:cs="Times New Roman"/>
              </w:rPr>
            </w:pPr>
          </w:p>
          <w:p w14:paraId="7490940F" w14:textId="188D189B" w:rsidR="00493C3F" w:rsidRPr="00BE136F" w:rsidRDefault="00AB7214" w:rsidP="00493C3F">
            <w:pPr>
              <w:autoSpaceDE w:val="0"/>
              <w:autoSpaceDN w:val="0"/>
              <w:adjustRightInd w:val="0"/>
              <w:rPr>
                <w:rFonts w:ascii="Times New Roman" w:hAnsi="Times New Roman" w:cs="Times New Roman"/>
              </w:rPr>
            </w:pPr>
            <w:r>
              <w:rPr>
                <w:rFonts w:ascii="Times New Roman" w:hAnsi="Times New Roman" w:cs="Times New Roman"/>
              </w:rPr>
              <w:t>&lt;Company</w:t>
            </w:r>
            <w:r w:rsidR="00071ABC">
              <w:rPr>
                <w:rFonts w:ascii="Times New Roman" w:hAnsi="Times New Roman" w:cs="Times New Roman"/>
              </w:rPr>
              <w:t>'</w:t>
            </w:r>
            <w:r>
              <w:rPr>
                <w:rFonts w:ascii="Times New Roman" w:hAnsi="Times New Roman" w:cs="Times New Roman"/>
              </w:rPr>
              <w:t xml:space="preserve">s&gt; </w:t>
            </w:r>
            <w:r w:rsidR="00493C3F" w:rsidRPr="00BE136F">
              <w:rPr>
                <w:rFonts w:ascii="Times New Roman" w:hAnsi="Times New Roman" w:cs="Times New Roman"/>
              </w:rPr>
              <w:t xml:space="preserve">executives will review and update policies on an annual basis, or more frequently when changes are authorized.  As changes to </w:t>
            </w:r>
            <w:r>
              <w:rPr>
                <w:rFonts w:ascii="Times New Roman" w:hAnsi="Times New Roman" w:cs="Times New Roman"/>
              </w:rPr>
              <w:t xml:space="preserve">&lt;company&gt; </w:t>
            </w:r>
            <w:r w:rsidR="00493C3F" w:rsidRPr="00BE136F">
              <w:rPr>
                <w:rFonts w:ascii="Times New Roman" w:hAnsi="Times New Roman" w:cs="Times New Roman"/>
              </w:rPr>
              <w:t xml:space="preserve">policies are indicated in the course of business, </w:t>
            </w:r>
            <w:r>
              <w:rPr>
                <w:rFonts w:ascii="Times New Roman" w:hAnsi="Times New Roman" w:cs="Times New Roman"/>
              </w:rPr>
              <w:t xml:space="preserve">&lt;company&gt; </w:t>
            </w:r>
            <w:r w:rsidR="00493C3F" w:rsidRPr="00BE136F">
              <w:rPr>
                <w:rFonts w:ascii="Times New Roman" w:hAnsi="Times New Roman" w:cs="Times New Roman"/>
              </w:rPr>
              <w:t>management may launch a change management initiative to change</w:t>
            </w:r>
            <w:r w:rsidR="00071ABC">
              <w:rPr>
                <w:rFonts w:ascii="Times New Roman" w:hAnsi="Times New Roman" w:cs="Times New Roman"/>
              </w:rPr>
              <w:t xml:space="preserve"> them</w:t>
            </w:r>
            <w:r w:rsidR="00493C3F" w:rsidRPr="00BE136F">
              <w:rPr>
                <w:rFonts w:ascii="Times New Roman" w:hAnsi="Times New Roman" w:cs="Times New Roman"/>
              </w:rPr>
              <w:t xml:space="preserve">. All </w:t>
            </w:r>
            <w:r>
              <w:rPr>
                <w:rFonts w:ascii="Times New Roman" w:hAnsi="Times New Roman" w:cs="Times New Roman"/>
              </w:rPr>
              <w:t xml:space="preserve">&lt;company&gt; </w:t>
            </w:r>
            <w:r w:rsidR="00493C3F" w:rsidRPr="00BE136F">
              <w:rPr>
                <w:rFonts w:ascii="Times New Roman" w:hAnsi="Times New Roman" w:cs="Times New Roman"/>
              </w:rPr>
              <w:t>policies will be available for review in the course of scheduled audits.</w:t>
            </w:r>
            <w:r w:rsidR="00493C3F">
              <w:rPr>
                <w:rFonts w:ascii="Times New Roman" w:hAnsi="Times New Roman" w:cs="Times New Roman"/>
              </w:rPr>
              <w:t xml:space="preserve"> </w:t>
            </w:r>
          </w:p>
          <w:p w14:paraId="698CF138" w14:textId="77777777" w:rsidR="001F3F90" w:rsidRPr="00493C3F" w:rsidRDefault="001F3F90">
            <w:pPr>
              <w:autoSpaceDE w:val="0"/>
              <w:autoSpaceDN w:val="0"/>
              <w:adjustRightInd w:val="0"/>
              <w:rPr>
                <w:rFonts w:ascii="Times New Roman" w:hAnsi="Times New Roman" w:cs="Times New Roman"/>
              </w:rPr>
            </w:pPr>
          </w:p>
        </w:tc>
      </w:tr>
    </w:tbl>
    <w:p w14:paraId="1E09D678" w14:textId="77777777" w:rsidR="001F3F90" w:rsidRDefault="001F3F90"/>
    <w:sectPr w:rsidR="001F3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7CEE" w14:textId="77777777" w:rsidR="00E61D82" w:rsidRDefault="00E61D82" w:rsidP="00493C3F">
      <w:pPr>
        <w:spacing w:after="0" w:line="240" w:lineRule="auto"/>
      </w:pPr>
      <w:r>
        <w:separator/>
      </w:r>
    </w:p>
  </w:endnote>
  <w:endnote w:type="continuationSeparator" w:id="0">
    <w:p w14:paraId="5F87A44A" w14:textId="77777777" w:rsidR="00E61D82" w:rsidRDefault="00E61D82" w:rsidP="0049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45C0" w14:textId="77777777" w:rsidR="00E61D82" w:rsidRDefault="00E61D82" w:rsidP="00493C3F">
      <w:pPr>
        <w:spacing w:after="0" w:line="240" w:lineRule="auto"/>
      </w:pPr>
      <w:r>
        <w:separator/>
      </w:r>
    </w:p>
  </w:footnote>
  <w:footnote w:type="continuationSeparator" w:id="0">
    <w:p w14:paraId="5194FCE9" w14:textId="77777777" w:rsidR="00E61D82" w:rsidRDefault="00E61D82" w:rsidP="00493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0C5"/>
    <w:multiLevelType w:val="hybridMultilevel"/>
    <w:tmpl w:val="4FA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5EC5"/>
    <w:multiLevelType w:val="hybridMultilevel"/>
    <w:tmpl w:val="78CA4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B624A3"/>
    <w:multiLevelType w:val="hybridMultilevel"/>
    <w:tmpl w:val="8B76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31B6"/>
    <w:multiLevelType w:val="hybridMultilevel"/>
    <w:tmpl w:val="ADDA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8339D"/>
    <w:multiLevelType w:val="hybridMultilevel"/>
    <w:tmpl w:val="848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844B2"/>
    <w:multiLevelType w:val="hybridMultilevel"/>
    <w:tmpl w:val="3AC6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90D85"/>
    <w:multiLevelType w:val="hybridMultilevel"/>
    <w:tmpl w:val="2398F906"/>
    <w:lvl w:ilvl="0" w:tplc="04090001">
      <w:start w:val="1"/>
      <w:numFmt w:val="bullet"/>
      <w:lvlText w:val=""/>
      <w:lvlJc w:val="left"/>
      <w:pPr>
        <w:ind w:left="720" w:hanging="360"/>
      </w:pPr>
      <w:rPr>
        <w:rFonts w:ascii="Symbol" w:hAnsi="Symbol" w:hint="default"/>
      </w:rPr>
    </w:lvl>
    <w:lvl w:ilvl="1" w:tplc="DD025990">
      <w:start w:val="3"/>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109B"/>
    <w:multiLevelType w:val="hybridMultilevel"/>
    <w:tmpl w:val="84D45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95B99"/>
    <w:multiLevelType w:val="hybridMultilevel"/>
    <w:tmpl w:val="8AC6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76436"/>
    <w:multiLevelType w:val="hybridMultilevel"/>
    <w:tmpl w:val="70DE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51BFB"/>
    <w:multiLevelType w:val="hybridMultilevel"/>
    <w:tmpl w:val="8FA423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687B0A"/>
    <w:multiLevelType w:val="hybridMultilevel"/>
    <w:tmpl w:val="124A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E78A7"/>
    <w:multiLevelType w:val="hybridMultilevel"/>
    <w:tmpl w:val="AEB00610"/>
    <w:lvl w:ilvl="0" w:tplc="8E26AB8C">
      <w:numFmt w:val="bullet"/>
      <w:lvlText w:val="•"/>
      <w:lvlJc w:val="left"/>
      <w:pPr>
        <w:ind w:left="720" w:hanging="360"/>
      </w:pPr>
      <w:rPr>
        <w:rFonts w:ascii="Calibri" w:eastAsiaTheme="minorHAnsi" w:hAnsi="Calibri"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56D88"/>
    <w:multiLevelType w:val="hybridMultilevel"/>
    <w:tmpl w:val="B2F2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E6D57"/>
    <w:multiLevelType w:val="hybridMultilevel"/>
    <w:tmpl w:val="DED2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77678"/>
    <w:multiLevelType w:val="hybridMultilevel"/>
    <w:tmpl w:val="3968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557A8"/>
    <w:multiLevelType w:val="hybridMultilevel"/>
    <w:tmpl w:val="68CA6384"/>
    <w:lvl w:ilvl="0" w:tplc="B6568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E59F4"/>
    <w:multiLevelType w:val="hybridMultilevel"/>
    <w:tmpl w:val="9320A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2C2594"/>
    <w:multiLevelType w:val="hybridMultilevel"/>
    <w:tmpl w:val="8D8A6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4774C"/>
    <w:multiLevelType w:val="hybridMultilevel"/>
    <w:tmpl w:val="E8D243F6"/>
    <w:lvl w:ilvl="0" w:tplc="B6568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E1E98"/>
    <w:multiLevelType w:val="hybridMultilevel"/>
    <w:tmpl w:val="0A140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072E7D"/>
    <w:multiLevelType w:val="hybridMultilevel"/>
    <w:tmpl w:val="70F86298"/>
    <w:lvl w:ilvl="0" w:tplc="0409000F">
      <w:start w:val="1"/>
      <w:numFmt w:val="decimal"/>
      <w:lvlText w:val="%1."/>
      <w:lvlJc w:val="left"/>
      <w:pPr>
        <w:ind w:left="720" w:hanging="360"/>
      </w:pPr>
      <w:rPr>
        <w:rFonts w:hint="default"/>
      </w:rPr>
    </w:lvl>
    <w:lvl w:ilvl="1" w:tplc="DD025990">
      <w:start w:val="3"/>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6F24"/>
    <w:multiLevelType w:val="hybridMultilevel"/>
    <w:tmpl w:val="56B86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271EB"/>
    <w:multiLevelType w:val="hybridMultilevel"/>
    <w:tmpl w:val="AC88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731C09"/>
    <w:multiLevelType w:val="hybridMultilevel"/>
    <w:tmpl w:val="3CCA8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77D6A"/>
    <w:multiLevelType w:val="hybridMultilevel"/>
    <w:tmpl w:val="6E8EC450"/>
    <w:lvl w:ilvl="0" w:tplc="B6568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92F34"/>
    <w:multiLevelType w:val="hybridMultilevel"/>
    <w:tmpl w:val="3C84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A29BD"/>
    <w:multiLevelType w:val="hybridMultilevel"/>
    <w:tmpl w:val="FF32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37C5C"/>
    <w:multiLevelType w:val="hybridMultilevel"/>
    <w:tmpl w:val="547EC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C13B3"/>
    <w:multiLevelType w:val="hybridMultilevel"/>
    <w:tmpl w:val="B1463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6A2A49"/>
    <w:multiLevelType w:val="hybridMultilevel"/>
    <w:tmpl w:val="FD10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20"/>
  </w:num>
  <w:num w:numId="6">
    <w:abstractNumId w:val="26"/>
  </w:num>
  <w:num w:numId="7">
    <w:abstractNumId w:val="1"/>
  </w:num>
  <w:num w:numId="8">
    <w:abstractNumId w:val="8"/>
  </w:num>
  <w:num w:numId="9">
    <w:abstractNumId w:val="17"/>
  </w:num>
  <w:num w:numId="10">
    <w:abstractNumId w:val="14"/>
  </w:num>
  <w:num w:numId="11">
    <w:abstractNumId w:val="23"/>
  </w:num>
  <w:num w:numId="12">
    <w:abstractNumId w:val="7"/>
  </w:num>
  <w:num w:numId="13">
    <w:abstractNumId w:val="29"/>
  </w:num>
  <w:num w:numId="14">
    <w:abstractNumId w:val="9"/>
  </w:num>
  <w:num w:numId="15">
    <w:abstractNumId w:val="15"/>
  </w:num>
  <w:num w:numId="16">
    <w:abstractNumId w:val="11"/>
  </w:num>
  <w:num w:numId="17">
    <w:abstractNumId w:val="5"/>
  </w:num>
  <w:num w:numId="18">
    <w:abstractNumId w:val="18"/>
  </w:num>
  <w:num w:numId="19">
    <w:abstractNumId w:val="24"/>
  </w:num>
  <w:num w:numId="20">
    <w:abstractNumId w:val="28"/>
  </w:num>
  <w:num w:numId="21">
    <w:abstractNumId w:val="22"/>
  </w:num>
  <w:num w:numId="22">
    <w:abstractNumId w:val="13"/>
  </w:num>
  <w:num w:numId="23">
    <w:abstractNumId w:val="3"/>
  </w:num>
  <w:num w:numId="24">
    <w:abstractNumId w:val="4"/>
  </w:num>
  <w:num w:numId="25">
    <w:abstractNumId w:val="21"/>
  </w:num>
  <w:num w:numId="26">
    <w:abstractNumId w:val="27"/>
  </w:num>
  <w:num w:numId="27">
    <w:abstractNumId w:val="25"/>
  </w:num>
  <w:num w:numId="28">
    <w:abstractNumId w:val="19"/>
  </w:num>
  <w:num w:numId="29">
    <w:abstractNumId w:val="16"/>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90"/>
    <w:rsid w:val="00000BF7"/>
    <w:rsid w:val="00031AA8"/>
    <w:rsid w:val="00071ABC"/>
    <w:rsid w:val="0009519A"/>
    <w:rsid w:val="00135528"/>
    <w:rsid w:val="001B20EC"/>
    <w:rsid w:val="001F3F90"/>
    <w:rsid w:val="00222664"/>
    <w:rsid w:val="00365049"/>
    <w:rsid w:val="00370E46"/>
    <w:rsid w:val="003B4128"/>
    <w:rsid w:val="003F7343"/>
    <w:rsid w:val="00493C3F"/>
    <w:rsid w:val="005153E4"/>
    <w:rsid w:val="005168F9"/>
    <w:rsid w:val="00560576"/>
    <w:rsid w:val="005B3CB0"/>
    <w:rsid w:val="006025DD"/>
    <w:rsid w:val="00602A93"/>
    <w:rsid w:val="00653550"/>
    <w:rsid w:val="006653FA"/>
    <w:rsid w:val="006B685B"/>
    <w:rsid w:val="00756F5F"/>
    <w:rsid w:val="008727CF"/>
    <w:rsid w:val="00900E81"/>
    <w:rsid w:val="00935988"/>
    <w:rsid w:val="0094540F"/>
    <w:rsid w:val="00973477"/>
    <w:rsid w:val="00985E79"/>
    <w:rsid w:val="00A84A28"/>
    <w:rsid w:val="00AB7214"/>
    <w:rsid w:val="00B1581F"/>
    <w:rsid w:val="00BE17D3"/>
    <w:rsid w:val="00CD0730"/>
    <w:rsid w:val="00CE0F74"/>
    <w:rsid w:val="00CF4375"/>
    <w:rsid w:val="00D2011E"/>
    <w:rsid w:val="00D43213"/>
    <w:rsid w:val="00D45654"/>
    <w:rsid w:val="00E61D82"/>
    <w:rsid w:val="00F70AD0"/>
    <w:rsid w:val="00FD2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E9A8"/>
  <w15:docId w15:val="{38375684-B245-433A-90ED-2CF9345F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3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3F"/>
  </w:style>
  <w:style w:type="paragraph" w:styleId="Footer">
    <w:name w:val="footer"/>
    <w:basedOn w:val="Normal"/>
    <w:link w:val="FooterChar"/>
    <w:uiPriority w:val="99"/>
    <w:unhideWhenUsed/>
    <w:rsid w:val="00493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C3F"/>
  </w:style>
  <w:style w:type="character" w:styleId="CommentReference">
    <w:name w:val="annotation reference"/>
    <w:basedOn w:val="DefaultParagraphFont"/>
    <w:uiPriority w:val="99"/>
    <w:semiHidden/>
    <w:unhideWhenUsed/>
    <w:rsid w:val="005153E4"/>
    <w:rPr>
      <w:sz w:val="16"/>
      <w:szCs w:val="16"/>
    </w:rPr>
  </w:style>
  <w:style w:type="paragraph" w:styleId="CommentText">
    <w:name w:val="annotation text"/>
    <w:basedOn w:val="Normal"/>
    <w:link w:val="CommentTextChar"/>
    <w:uiPriority w:val="99"/>
    <w:semiHidden/>
    <w:unhideWhenUsed/>
    <w:rsid w:val="005153E4"/>
    <w:pPr>
      <w:spacing w:line="240" w:lineRule="auto"/>
    </w:pPr>
    <w:rPr>
      <w:sz w:val="20"/>
      <w:szCs w:val="20"/>
    </w:rPr>
  </w:style>
  <w:style w:type="character" w:customStyle="1" w:styleId="CommentTextChar">
    <w:name w:val="Comment Text Char"/>
    <w:basedOn w:val="DefaultParagraphFont"/>
    <w:link w:val="CommentText"/>
    <w:uiPriority w:val="99"/>
    <w:semiHidden/>
    <w:rsid w:val="005153E4"/>
    <w:rPr>
      <w:sz w:val="20"/>
      <w:szCs w:val="20"/>
    </w:rPr>
  </w:style>
  <w:style w:type="paragraph" w:styleId="CommentSubject">
    <w:name w:val="annotation subject"/>
    <w:basedOn w:val="CommentText"/>
    <w:next w:val="CommentText"/>
    <w:link w:val="CommentSubjectChar"/>
    <w:uiPriority w:val="99"/>
    <w:semiHidden/>
    <w:unhideWhenUsed/>
    <w:rsid w:val="005153E4"/>
    <w:rPr>
      <w:b/>
      <w:bCs/>
    </w:rPr>
  </w:style>
  <w:style w:type="character" w:customStyle="1" w:styleId="CommentSubjectChar">
    <w:name w:val="Comment Subject Char"/>
    <w:basedOn w:val="CommentTextChar"/>
    <w:link w:val="CommentSubject"/>
    <w:uiPriority w:val="99"/>
    <w:semiHidden/>
    <w:rsid w:val="005153E4"/>
    <w:rPr>
      <w:b/>
      <w:bCs/>
      <w:sz w:val="20"/>
      <w:szCs w:val="20"/>
    </w:rPr>
  </w:style>
  <w:style w:type="character" w:styleId="Hyperlink">
    <w:name w:val="Hyperlink"/>
    <w:basedOn w:val="DefaultParagraphFont"/>
    <w:uiPriority w:val="99"/>
    <w:semiHidden/>
    <w:unhideWhenUsed/>
    <w:rsid w:val="00602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6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A41A-596D-493C-B284-9606F064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Kirvan</dc:creator>
  <cp:lastModifiedBy>Koury, Linda</cp:lastModifiedBy>
  <cp:revision>7</cp:revision>
  <dcterms:created xsi:type="dcterms:W3CDTF">2021-09-29T03:45:00Z</dcterms:created>
  <dcterms:modified xsi:type="dcterms:W3CDTF">2021-09-30T17:23:00Z</dcterms:modified>
</cp:coreProperties>
</file>