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A3" w:rsidRDefault="00080AA3"/>
    <w:p w:rsidR="00D9454D" w:rsidRPr="0014186E" w:rsidRDefault="00D9454D" w:rsidP="00D9454D">
      <w:pPr>
        <w:jc w:val="center"/>
        <w:rPr>
          <w:rFonts w:ascii="Arial" w:hAnsi="Arial" w:cs="Arial"/>
          <w:b/>
        </w:rPr>
      </w:pPr>
      <w:r w:rsidRPr="0014186E">
        <w:rPr>
          <w:rFonts w:ascii="Arial" w:hAnsi="Arial" w:cs="Arial"/>
          <w:b/>
        </w:rPr>
        <w:t xml:space="preserve">Emergency Communications Planning Template </w:t>
      </w:r>
      <w:r w:rsidR="00B55ECF">
        <w:rPr>
          <w:rFonts w:ascii="Arial" w:hAnsi="Arial" w:cs="Arial"/>
          <w:b/>
        </w:rPr>
        <w:t>for Business Continuity Planners</w:t>
      </w:r>
    </w:p>
    <w:p w:rsidR="00D9454D" w:rsidRPr="0014186E" w:rsidRDefault="00D9454D" w:rsidP="00D9454D">
      <w:pPr>
        <w:jc w:val="center"/>
      </w:pPr>
      <w:r w:rsidRPr="0014186E">
        <w:t>By Paul Kirvan, CISA, CISSP, FBCI</w:t>
      </w:r>
    </w:p>
    <w:p w:rsidR="0014186E" w:rsidRDefault="0014186E" w:rsidP="00D9454D">
      <w:pPr>
        <w:spacing w:line="360" w:lineRule="auto"/>
      </w:pPr>
    </w:p>
    <w:p w:rsidR="00D9454D" w:rsidRPr="00424EDA" w:rsidRDefault="00D9454D" w:rsidP="0014186E">
      <w:pPr>
        <w:spacing w:line="360" w:lineRule="auto"/>
        <w:jc w:val="both"/>
        <w:rPr>
          <w:sz w:val="22"/>
          <w:szCs w:val="22"/>
        </w:rPr>
      </w:pPr>
      <w:r w:rsidRPr="00424EDA">
        <w:rPr>
          <w:sz w:val="22"/>
          <w:szCs w:val="22"/>
        </w:rPr>
        <w:t xml:space="preserve">SearchDisasterRecovery.com has </w:t>
      </w:r>
      <w:r w:rsidR="00780042" w:rsidRPr="00424EDA">
        <w:rPr>
          <w:sz w:val="22"/>
          <w:szCs w:val="22"/>
        </w:rPr>
        <w:t xml:space="preserve">created </w:t>
      </w:r>
      <w:r w:rsidRPr="00424EDA">
        <w:rPr>
          <w:sz w:val="22"/>
          <w:szCs w:val="22"/>
        </w:rPr>
        <w:t>this emergency communications planning template for business continuity planners. It can be used as a basic emergency communications plan. Each of the steps will have additional actions within them, which need to be defined and incorporated into the overall plan. Use this template following the onset of an incident.</w:t>
      </w:r>
    </w:p>
    <w:p w:rsidR="00D9454D" w:rsidRDefault="00D9454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1083"/>
        <w:gridCol w:w="2034"/>
        <w:gridCol w:w="1121"/>
        <w:gridCol w:w="2303"/>
      </w:tblGrid>
      <w:tr w:rsidR="00D9454D" w:rsidRPr="00BB6E46" w:rsidTr="008212DC">
        <w:tc>
          <w:tcPr>
            <w:tcW w:w="3167" w:type="dxa"/>
            <w:vAlign w:val="center"/>
          </w:tcPr>
          <w:p w:rsidR="00D9454D" w:rsidRPr="00BB6E46" w:rsidRDefault="00D9454D" w:rsidP="008212DC">
            <w:pPr>
              <w:jc w:val="center"/>
              <w:rPr>
                <w:rFonts w:ascii="Arial" w:hAnsi="Arial" w:cs="Arial"/>
                <w:sz w:val="16"/>
                <w:szCs w:val="16"/>
              </w:rPr>
            </w:pPr>
            <w:r w:rsidRPr="00BB6E46">
              <w:rPr>
                <w:rFonts w:ascii="Arial" w:hAnsi="Arial" w:cs="Arial"/>
                <w:sz w:val="16"/>
                <w:szCs w:val="16"/>
              </w:rPr>
              <w:t>Action</w:t>
            </w:r>
          </w:p>
        </w:tc>
        <w:tc>
          <w:tcPr>
            <w:tcW w:w="1043" w:type="dxa"/>
            <w:vAlign w:val="center"/>
          </w:tcPr>
          <w:p w:rsidR="00D9454D" w:rsidRPr="00BB6E46" w:rsidRDefault="00D9454D" w:rsidP="008212DC">
            <w:pPr>
              <w:jc w:val="center"/>
              <w:rPr>
                <w:rFonts w:ascii="Arial" w:hAnsi="Arial" w:cs="Arial"/>
                <w:sz w:val="16"/>
                <w:szCs w:val="16"/>
              </w:rPr>
            </w:pPr>
            <w:r w:rsidRPr="00BB6E46">
              <w:rPr>
                <w:rFonts w:ascii="Arial" w:hAnsi="Arial" w:cs="Arial"/>
                <w:sz w:val="16"/>
                <w:szCs w:val="16"/>
              </w:rPr>
              <w:t>Date/Time</w:t>
            </w:r>
          </w:p>
        </w:tc>
        <w:tc>
          <w:tcPr>
            <w:tcW w:w="1959" w:type="dxa"/>
            <w:vAlign w:val="center"/>
          </w:tcPr>
          <w:p w:rsidR="00D9454D" w:rsidRPr="00BB6E46" w:rsidRDefault="00D9454D" w:rsidP="008212DC">
            <w:pPr>
              <w:jc w:val="center"/>
              <w:rPr>
                <w:rFonts w:ascii="Arial" w:hAnsi="Arial" w:cs="Arial"/>
                <w:sz w:val="16"/>
                <w:szCs w:val="16"/>
              </w:rPr>
            </w:pPr>
            <w:r w:rsidRPr="00BB6E46">
              <w:rPr>
                <w:rFonts w:ascii="Arial" w:hAnsi="Arial" w:cs="Arial"/>
                <w:sz w:val="16"/>
                <w:szCs w:val="16"/>
              </w:rPr>
              <w:t>Assigned to</w:t>
            </w:r>
          </w:p>
        </w:tc>
        <w:tc>
          <w:tcPr>
            <w:tcW w:w="1080" w:type="dxa"/>
            <w:vAlign w:val="center"/>
          </w:tcPr>
          <w:p w:rsidR="00D9454D" w:rsidRPr="00BB6E46" w:rsidRDefault="00D9454D" w:rsidP="008212DC">
            <w:pPr>
              <w:jc w:val="center"/>
              <w:rPr>
                <w:rFonts w:ascii="Arial" w:hAnsi="Arial" w:cs="Arial"/>
                <w:sz w:val="16"/>
                <w:szCs w:val="16"/>
              </w:rPr>
            </w:pPr>
            <w:r w:rsidRPr="00BB6E46">
              <w:rPr>
                <w:rFonts w:ascii="Arial" w:hAnsi="Arial" w:cs="Arial"/>
                <w:sz w:val="16"/>
                <w:szCs w:val="16"/>
              </w:rPr>
              <w:t>Time Completed</w:t>
            </w:r>
          </w:p>
        </w:tc>
        <w:tc>
          <w:tcPr>
            <w:tcW w:w="2218" w:type="dxa"/>
            <w:vAlign w:val="center"/>
          </w:tcPr>
          <w:p w:rsidR="00D9454D" w:rsidRPr="00BB6E46" w:rsidRDefault="00D9454D" w:rsidP="008212DC">
            <w:pPr>
              <w:jc w:val="center"/>
              <w:rPr>
                <w:rFonts w:ascii="Arial" w:hAnsi="Arial" w:cs="Arial"/>
                <w:sz w:val="16"/>
                <w:szCs w:val="16"/>
              </w:rPr>
            </w:pPr>
            <w:r w:rsidRPr="00BB6E46">
              <w:rPr>
                <w:rFonts w:ascii="Arial" w:hAnsi="Arial" w:cs="Arial"/>
                <w:sz w:val="16"/>
                <w:szCs w:val="16"/>
              </w:rPr>
              <w:t>Notes</w:t>
            </w:r>
          </w:p>
        </w:tc>
      </w:tr>
      <w:tr w:rsidR="00D9454D" w:rsidRPr="00BB6E46" w:rsidTr="008212DC">
        <w:tc>
          <w:tcPr>
            <w:tcW w:w="3167" w:type="dxa"/>
          </w:tcPr>
          <w:p w:rsidR="00D9454D" w:rsidRPr="00BB6E46" w:rsidRDefault="00D9454D" w:rsidP="008212DC">
            <w:pPr>
              <w:rPr>
                <w:sz w:val="18"/>
                <w:szCs w:val="18"/>
              </w:rPr>
            </w:pPr>
            <w:r w:rsidRPr="00BB6E46">
              <w:rPr>
                <w:sz w:val="18"/>
                <w:szCs w:val="18"/>
              </w:rPr>
              <w:t>Following onset of incident</w:t>
            </w:r>
            <w:r>
              <w:rPr>
                <w:sz w:val="18"/>
                <w:szCs w:val="18"/>
              </w:rPr>
              <w:t>,</w:t>
            </w:r>
            <w:r w:rsidRPr="00BB6E46">
              <w:rPr>
                <w:sz w:val="18"/>
                <w:szCs w:val="18"/>
              </w:rPr>
              <w:t xml:space="preserve"> emergency communications (EC) team leader obtains situation report from incident management team</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leader launches EC team</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meets to assess situation, develop approach and strategies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meets with senior management to determine the response and message</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meets with company spokesperson to discuss responses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 xml:space="preserve">EC team prepares initial internal and external communications </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Messages and strategy reviewed and approved by senior management</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 xml:space="preserve">EC team and spokesperson deliver initial internal and external messages </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 xml:space="preserve">EC team updates company </w:t>
            </w:r>
            <w:r>
              <w:rPr>
                <w:sz w:val="18"/>
                <w:szCs w:val="18"/>
              </w:rPr>
              <w:t>website</w:t>
            </w:r>
            <w:r w:rsidRPr="00BB6E46">
              <w:rPr>
                <w:sz w:val="18"/>
                <w:szCs w:val="18"/>
              </w:rPr>
              <w:t xml:space="preserve"> with information on the emergency</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coordinates meetings with media</w:t>
            </w:r>
            <w:r>
              <w:rPr>
                <w:sz w:val="18"/>
                <w:szCs w:val="18"/>
              </w:rPr>
              <w:t xml:space="preserve"> and</w:t>
            </w:r>
            <w:r w:rsidRPr="00BB6E46">
              <w:rPr>
                <w:sz w:val="18"/>
                <w:szCs w:val="18"/>
              </w:rPr>
              <w:t xml:space="preserve"> delivers approved messages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obtains regular status reports from BC/DR team</w:t>
            </w:r>
            <w:r>
              <w:rPr>
                <w:sz w:val="18"/>
                <w:szCs w:val="18"/>
              </w:rPr>
              <w:t xml:space="preserve"> and</w:t>
            </w:r>
            <w:r w:rsidRPr="00BB6E46">
              <w:rPr>
                <w:sz w:val="18"/>
                <w:szCs w:val="18"/>
              </w:rPr>
              <w:t xml:space="preserve"> other teams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prepares and distributes status reports regularly on the situation</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prepares and delivers regular updates to stakeholders, government agencies</w:t>
            </w:r>
            <w:r>
              <w:rPr>
                <w:sz w:val="18"/>
                <w:szCs w:val="18"/>
              </w:rPr>
              <w:t xml:space="preserve"> and</w:t>
            </w:r>
            <w:r w:rsidRPr="00BB6E46">
              <w:rPr>
                <w:sz w:val="18"/>
                <w:szCs w:val="18"/>
              </w:rPr>
              <w:t xml:space="preserve"> other relevant entities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prepares and delivers messages on resolution of the emergency</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provides ongoing updates to internal and external parties as the situation is resolved</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is advised by senior management that the emergency is over</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stands down once the emergency has been resolved</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prepares and issues post-event reports as needed to internal and external parties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r w:rsidR="00D9454D" w:rsidRPr="00BB6E46" w:rsidTr="008212DC">
        <w:tc>
          <w:tcPr>
            <w:tcW w:w="3167" w:type="dxa"/>
          </w:tcPr>
          <w:p w:rsidR="00D9454D" w:rsidRPr="00BB6E46" w:rsidRDefault="00D9454D" w:rsidP="008212DC">
            <w:pPr>
              <w:rPr>
                <w:sz w:val="18"/>
                <w:szCs w:val="18"/>
              </w:rPr>
            </w:pPr>
            <w:r w:rsidRPr="00BB6E46">
              <w:rPr>
                <w:sz w:val="18"/>
                <w:szCs w:val="18"/>
              </w:rPr>
              <w:t>EC team conducts post-event review of and revision to the EC process</w:t>
            </w:r>
          </w:p>
        </w:tc>
        <w:tc>
          <w:tcPr>
            <w:tcW w:w="1043" w:type="dxa"/>
          </w:tcPr>
          <w:p w:rsidR="00D9454D" w:rsidRPr="00BB6E46" w:rsidRDefault="00D9454D" w:rsidP="008212DC">
            <w:pPr>
              <w:rPr>
                <w:sz w:val="18"/>
                <w:szCs w:val="18"/>
              </w:rPr>
            </w:pPr>
          </w:p>
        </w:tc>
        <w:tc>
          <w:tcPr>
            <w:tcW w:w="1959" w:type="dxa"/>
          </w:tcPr>
          <w:p w:rsidR="00D9454D" w:rsidRPr="00BB6E46" w:rsidRDefault="00D9454D" w:rsidP="008212DC">
            <w:pPr>
              <w:rPr>
                <w:sz w:val="18"/>
                <w:szCs w:val="18"/>
              </w:rPr>
            </w:pPr>
          </w:p>
        </w:tc>
        <w:tc>
          <w:tcPr>
            <w:tcW w:w="1080" w:type="dxa"/>
          </w:tcPr>
          <w:p w:rsidR="00D9454D" w:rsidRPr="00BB6E46" w:rsidRDefault="00D9454D" w:rsidP="008212DC">
            <w:pPr>
              <w:rPr>
                <w:sz w:val="18"/>
                <w:szCs w:val="18"/>
              </w:rPr>
            </w:pPr>
          </w:p>
        </w:tc>
        <w:tc>
          <w:tcPr>
            <w:tcW w:w="2218" w:type="dxa"/>
          </w:tcPr>
          <w:p w:rsidR="00D9454D" w:rsidRPr="00BB6E46" w:rsidRDefault="00D9454D" w:rsidP="008212DC">
            <w:pPr>
              <w:rPr>
                <w:sz w:val="18"/>
                <w:szCs w:val="18"/>
              </w:rPr>
            </w:pPr>
          </w:p>
        </w:tc>
      </w:tr>
    </w:tbl>
    <w:p w:rsidR="00424EDA" w:rsidRDefault="00424EDA" w:rsidP="00424EDA"/>
    <w:sectPr w:rsidR="00424EDA" w:rsidSect="00080A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52" w:rsidRDefault="00DE0D52" w:rsidP="00D9454D">
      <w:r>
        <w:separator/>
      </w:r>
    </w:p>
  </w:endnote>
  <w:endnote w:type="continuationSeparator" w:id="0">
    <w:p w:rsidR="00DE0D52" w:rsidRDefault="00DE0D52" w:rsidP="00D94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42" w:rsidRDefault="00780042" w:rsidP="00780042">
    <w:pPr>
      <w:pStyle w:val="Footer"/>
      <w:jc w:val="center"/>
      <w:rPr>
        <w:rStyle w:val="PageNumber"/>
      </w:rPr>
    </w:pPr>
    <w:r>
      <w:rPr>
        <w:rFonts w:ascii="Arial" w:hAnsi="Arial" w:cs="Arial"/>
        <w:sz w:val="17"/>
        <w:szCs w:val="17"/>
      </w:rPr>
      <w:t>All Rights Reserved, 2010, TechTarget</w:t>
    </w:r>
  </w:p>
  <w:p w:rsidR="00780042" w:rsidRDefault="00780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52" w:rsidRDefault="00DE0D52" w:rsidP="00D9454D">
      <w:r>
        <w:separator/>
      </w:r>
    </w:p>
  </w:footnote>
  <w:footnote w:type="continuationSeparator" w:id="0">
    <w:p w:rsidR="00DE0D52" w:rsidRDefault="00DE0D52" w:rsidP="00D94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4D" w:rsidRDefault="00B23A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DRC-RGB" style="position:absolute;margin-left:140.8pt;margin-top:.45pt;width:171.45pt;height:26.15pt;z-index:-1;visibility:visible;mso-position-horizontal-relative:char;mso-position-vertical-relative:line" o:allowoverlap="f">
          <v:imagedata r:id="rId1" o:title="SDRC-RG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54D"/>
    <w:rsid w:val="00080AA3"/>
    <w:rsid w:val="0014186E"/>
    <w:rsid w:val="003A1C19"/>
    <w:rsid w:val="00424EDA"/>
    <w:rsid w:val="00780042"/>
    <w:rsid w:val="00806D28"/>
    <w:rsid w:val="008212DC"/>
    <w:rsid w:val="009917CC"/>
    <w:rsid w:val="00B23A12"/>
    <w:rsid w:val="00B55ECF"/>
    <w:rsid w:val="00B74C0E"/>
    <w:rsid w:val="00CF2F63"/>
    <w:rsid w:val="00D9454D"/>
    <w:rsid w:val="00DE0D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54D"/>
    <w:pPr>
      <w:tabs>
        <w:tab w:val="center" w:pos="4680"/>
        <w:tab w:val="right" w:pos="9360"/>
      </w:tabs>
    </w:pPr>
  </w:style>
  <w:style w:type="character" w:customStyle="1" w:styleId="HeaderChar">
    <w:name w:val="Header Char"/>
    <w:basedOn w:val="DefaultParagraphFont"/>
    <w:link w:val="Header"/>
    <w:uiPriority w:val="99"/>
    <w:semiHidden/>
    <w:rsid w:val="00D945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54D"/>
    <w:pPr>
      <w:tabs>
        <w:tab w:val="center" w:pos="4680"/>
        <w:tab w:val="right" w:pos="9360"/>
      </w:tabs>
    </w:pPr>
  </w:style>
  <w:style w:type="character" w:customStyle="1" w:styleId="FooterChar">
    <w:name w:val="Footer Char"/>
    <w:basedOn w:val="DefaultParagraphFont"/>
    <w:link w:val="Footer"/>
    <w:uiPriority w:val="99"/>
    <w:rsid w:val="00D9454D"/>
    <w:rPr>
      <w:rFonts w:ascii="Times New Roman" w:eastAsia="Times New Roman" w:hAnsi="Times New Roman" w:cs="Times New Roman"/>
      <w:sz w:val="24"/>
      <w:szCs w:val="24"/>
    </w:rPr>
  </w:style>
  <w:style w:type="character" w:styleId="PageNumber">
    <w:name w:val="page number"/>
    <w:basedOn w:val="DefaultParagraphFont"/>
    <w:rsid w:val="007800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TechTarget</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SearchDisasterRecovery's Emergency communications plan template for business continuity planners</dc:title>
  <dc:subject>Emergency communications plan template for business continuity planners</dc:subject>
  <dc:creator>Paul Kirvan</dc:creator>
  <cp:keywords>Emergency communications plan template for business continuity planners</cp:keywords>
  <cp:lastModifiedBy>jwaltman</cp:lastModifiedBy>
  <cp:revision>1</cp:revision>
  <dcterms:created xsi:type="dcterms:W3CDTF">2010-09-08T15:32:00Z</dcterms:created>
  <dcterms:modified xsi:type="dcterms:W3CDTF">2010-09-17T18:29:00Z</dcterms:modified>
  <cp:category>business continuity templates</cp:category>
</cp:coreProperties>
</file>